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E6" w:rsidRDefault="00442AE6" w:rsidP="00442AE6">
      <w:pPr>
        <w:textAlignment w:val="baseline"/>
        <w:rPr>
          <w:b/>
          <w:bCs/>
          <w:sz w:val="32"/>
          <w:szCs w:val="32"/>
          <w:lang w:eastAsia="zh-CN"/>
        </w:rPr>
      </w:pPr>
      <w:r w:rsidRPr="00BE4E56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附件4：</w:t>
      </w:r>
    </w:p>
    <w:p w:rsidR="00442AE6" w:rsidRPr="00BE4E56" w:rsidRDefault="00442AE6" w:rsidP="00442AE6">
      <w:pPr>
        <w:jc w:val="center"/>
        <w:textAlignment w:val="baseline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红色文创作品评分标准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9"/>
        <w:gridCol w:w="638"/>
        <w:gridCol w:w="5950"/>
        <w:gridCol w:w="669"/>
      </w:tblGrid>
      <w:tr w:rsidR="00442AE6" w:rsidTr="008C1032">
        <w:trPr>
          <w:trHeight w:val="1134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评</w:t>
            </w:r>
            <w:proofErr w:type="spellStart"/>
            <w:r>
              <w:rPr>
                <w:rFonts w:ascii="黑体" w:eastAsia="黑体" w:hAnsi="黑体"/>
                <w:sz w:val="21"/>
              </w:rPr>
              <w:t>分项</w:t>
            </w:r>
            <w:proofErr w:type="spellEnd"/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权重</w:t>
            </w:r>
            <w:proofErr w:type="spellEnd"/>
          </w:p>
        </w:tc>
        <w:tc>
          <w:tcPr>
            <w:tcW w:w="5950" w:type="dxa"/>
            <w:tcBorders>
              <w:right w:val="single" w:sz="4" w:space="0" w:color="auto"/>
            </w:tcBorders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具体要求</w:t>
            </w:r>
            <w:proofErr w:type="spellEnd"/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得分</w:t>
            </w:r>
            <w:proofErr w:type="spellEnd"/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</w:rPr>
              <w:t>1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文化性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  <w:lang w:eastAsia="zh-CN"/>
              </w:rPr>
              <w:t>具有深厚的红色历史文化底蕴，平江县地域历史文化特征；展现仙姑崖-红军营景区的文化内涵；表达浓郁的中华民族特色；反映中华文化的多样性。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</w:rPr>
              <w:t>2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创新性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950" w:type="dxa"/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设计创意新颖、独特，技艺或品种独创；注重传统与流行、文化与科技、纪念与实用的结合；针对旅游市场，为“平江礼物”而设计，易被旅游者接受；具有自主知识产权。</w:t>
            </w:r>
          </w:p>
        </w:tc>
        <w:tc>
          <w:tcPr>
            <w:tcW w:w="669" w:type="dxa"/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/>
                <w:sz w:val="21"/>
              </w:rPr>
              <w:t>3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时尚</w:t>
            </w:r>
            <w:r>
              <w:rPr>
                <w:rFonts w:ascii="Times New Roman" w:eastAsia="黑体" w:hAnsi="Times New Roman"/>
                <w:sz w:val="21"/>
              </w:rPr>
              <w:t>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950" w:type="dxa"/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融情感、消费于一体，不落俗套，引领流行趋势，产品开发与时俱进，时代特色鲜明，传统工艺推陈出新，与高新技术有机结合，能吸引旅游者的旅游商品消费兴趣。</w:t>
            </w:r>
          </w:p>
        </w:tc>
        <w:tc>
          <w:tcPr>
            <w:tcW w:w="669" w:type="dxa"/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/>
                <w:sz w:val="21"/>
                <w:lang w:eastAsia="zh-CN"/>
              </w:rPr>
              <w:t>4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纪念性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950" w:type="dxa"/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主题突出，具有鲜明的地域元素，充分展现平江县红色文化、地方特产和仙姑崖-红军营景区特征（内涵、风貌、建筑、图形元素等），易收藏，留念价值高。</w:t>
            </w:r>
          </w:p>
        </w:tc>
        <w:tc>
          <w:tcPr>
            <w:tcW w:w="669" w:type="dxa"/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5.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实用性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  <w:lang w:eastAsia="zh-CN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10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分</w:t>
            </w:r>
          </w:p>
        </w:tc>
        <w:tc>
          <w:tcPr>
            <w:tcW w:w="5950" w:type="dxa"/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有一定的实用和收藏价值；易于携带；具备与休闲、居家、生活方式、利益相关的应用性。</w:t>
            </w:r>
          </w:p>
        </w:tc>
        <w:tc>
          <w:tcPr>
            <w:tcW w:w="669" w:type="dxa"/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b/>
                <w:sz w:val="21"/>
                <w:lang w:eastAsia="zh-CN"/>
              </w:rPr>
            </w:pPr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6.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工艺</w:t>
            </w:r>
            <w:r>
              <w:rPr>
                <w:rFonts w:ascii="Times New Roman" w:eastAsia="黑体" w:hAnsi="Times New Roman"/>
                <w:sz w:val="21"/>
              </w:rPr>
              <w:t>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10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950" w:type="dxa"/>
            <w:tcBorders>
              <w:right w:val="single" w:sz="4" w:space="0" w:color="auto"/>
            </w:tcBorders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工艺精良，用材合理；适宜工业化生产，符合相关产品的国内外技术质量标准和安全标准。通过标准认定的以证书为准，性能安全；加工质量高，绿色环保；制作精湛，传统技艺应用到位；商品、包装系统完整。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</w:p>
        </w:tc>
      </w:tr>
      <w:tr w:rsidR="00442AE6" w:rsidTr="008C1032">
        <w:trPr>
          <w:trHeight w:val="1021"/>
          <w:jc w:val="center"/>
        </w:trPr>
        <w:tc>
          <w:tcPr>
            <w:tcW w:w="1069" w:type="dxa"/>
            <w:vAlign w:val="center"/>
          </w:tcPr>
          <w:p w:rsidR="00442AE6" w:rsidRDefault="00442AE6" w:rsidP="008C1032">
            <w:pPr>
              <w:spacing w:line="281" w:lineRule="exact"/>
              <w:ind w:left="120"/>
              <w:jc w:val="both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7.</w:t>
            </w: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市场性</w:t>
            </w:r>
          </w:p>
        </w:tc>
        <w:tc>
          <w:tcPr>
            <w:tcW w:w="638" w:type="dxa"/>
            <w:vAlign w:val="center"/>
          </w:tcPr>
          <w:p w:rsidR="00442AE6" w:rsidRDefault="00442AE6" w:rsidP="008C1032">
            <w:pPr>
              <w:spacing w:line="281" w:lineRule="exact"/>
              <w:jc w:val="center"/>
              <w:textAlignment w:val="baseline"/>
              <w:rPr>
                <w:rFonts w:ascii="Times New Roman" w:eastAsia="黑体" w:hAnsi="Times New Roman"/>
                <w:sz w:val="21"/>
              </w:rPr>
            </w:pPr>
            <w:r>
              <w:rPr>
                <w:rFonts w:ascii="Times New Roman" w:eastAsia="黑体" w:hAnsi="Times New Roman" w:hint="eastAsia"/>
                <w:sz w:val="21"/>
                <w:lang w:eastAsia="zh-CN"/>
              </w:rPr>
              <w:t>20</w:t>
            </w:r>
            <w:r>
              <w:rPr>
                <w:rFonts w:ascii="Times New Roman" w:eastAsia="黑体" w:hAnsi="Times New Roman"/>
                <w:sz w:val="21"/>
              </w:rPr>
              <w:t>分</w:t>
            </w:r>
          </w:p>
        </w:tc>
        <w:tc>
          <w:tcPr>
            <w:tcW w:w="5950" w:type="dxa"/>
            <w:vAlign w:val="center"/>
          </w:tcPr>
          <w:p w:rsidR="00442AE6" w:rsidRDefault="00442AE6" w:rsidP="008C1032">
            <w:pPr>
              <w:spacing w:line="281" w:lineRule="exact"/>
              <w:textAlignment w:val="baseline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定价合理；具有生产可行性和市场经营的较好效益；具有进一步深化设计，形成更大市场份额的潜力。</w:t>
            </w:r>
          </w:p>
        </w:tc>
        <w:tc>
          <w:tcPr>
            <w:tcW w:w="669" w:type="dxa"/>
            <w:vAlign w:val="center"/>
          </w:tcPr>
          <w:p w:rsidR="00442AE6" w:rsidRDefault="00442AE6" w:rsidP="008C1032">
            <w:pPr>
              <w:snapToGrid w:val="0"/>
              <w:spacing w:line="0" w:lineRule="atLeast"/>
              <w:jc w:val="center"/>
              <w:textAlignment w:val="baseline"/>
              <w:rPr>
                <w:rFonts w:ascii="华文细黑" w:eastAsia="华文细黑" w:hAnsi="华文细黑"/>
                <w:sz w:val="20"/>
                <w:lang w:eastAsia="zh-CN"/>
              </w:rPr>
            </w:pPr>
          </w:p>
        </w:tc>
      </w:tr>
      <w:tr w:rsidR="00442AE6" w:rsidTr="008C1032">
        <w:trPr>
          <w:trHeight w:val="862"/>
          <w:jc w:val="center"/>
        </w:trPr>
        <w:tc>
          <w:tcPr>
            <w:tcW w:w="7657" w:type="dxa"/>
            <w:gridSpan w:val="3"/>
            <w:vAlign w:val="center"/>
          </w:tcPr>
          <w:p w:rsidR="00442AE6" w:rsidRDefault="00442AE6" w:rsidP="008C1032">
            <w:pPr>
              <w:spacing w:line="280" w:lineRule="exact"/>
              <w:jc w:val="center"/>
              <w:textAlignment w:val="baseline"/>
              <w:rPr>
                <w:rFonts w:ascii="黑体" w:eastAsia="黑体" w:hAnsi="黑体"/>
                <w:sz w:val="21"/>
              </w:rPr>
            </w:pPr>
            <w:proofErr w:type="spellStart"/>
            <w:r>
              <w:rPr>
                <w:rFonts w:ascii="黑体" w:eastAsia="黑体" w:hAnsi="黑体"/>
                <w:sz w:val="21"/>
              </w:rPr>
              <w:t>总得分</w:t>
            </w:r>
            <w:proofErr w:type="spellEnd"/>
          </w:p>
        </w:tc>
        <w:tc>
          <w:tcPr>
            <w:tcW w:w="669" w:type="dxa"/>
            <w:vAlign w:val="bottom"/>
          </w:tcPr>
          <w:p w:rsidR="00442AE6" w:rsidRDefault="00442AE6" w:rsidP="008C1032">
            <w:pPr>
              <w:snapToGrid w:val="0"/>
              <w:spacing w:line="0" w:lineRule="atLeast"/>
              <w:textAlignment w:val="baseline"/>
              <w:rPr>
                <w:rFonts w:ascii="华文细黑" w:eastAsia="华文细黑" w:hAnsi="华文细黑"/>
                <w:sz w:val="20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AE6"/>
    <w:rsid w:val="001670B9"/>
    <w:rsid w:val="00442AE6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E6"/>
    <w:pPr>
      <w:spacing w:line="240" w:lineRule="auto"/>
    </w:pPr>
    <w:rPr>
      <w:rFonts w:eastAsiaTheme="minorEastAsia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2021-06-09T09:41:00Z</dcterms:created>
  <dcterms:modified xsi:type="dcterms:W3CDTF">2021-06-09T09:42:00Z</dcterms:modified>
</cp:coreProperties>
</file>