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rPr>
          <w:rFonts w:ascii="黑体" w:eastAsia="黑体"/>
          <w:szCs w:val="20"/>
        </w:rPr>
      </w:pPr>
      <w:r>
        <w:rPr>
          <w:rFonts w:hint="eastAsia" w:ascii="黑体" w:eastAsia="黑体"/>
          <w:szCs w:val="20"/>
        </w:rPr>
        <w:t>附件12：</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30"/>
          <w:szCs w:val="30"/>
        </w:rPr>
      </w:pPr>
      <w:r>
        <w:rPr>
          <w:rFonts w:hint="eastAsia" w:hAnsi="仿宋_GB2312" w:cs="仿宋_GB2312"/>
          <w:b/>
          <w:bCs/>
          <w:sz w:val="30"/>
          <w:szCs w:val="30"/>
          <w:lang w:val="en-US" w:eastAsia="zh-CN"/>
        </w:rPr>
        <w:t>湖南科技大学</w:t>
      </w:r>
      <w:r>
        <w:rPr>
          <w:rFonts w:hint="eastAsia" w:ascii="仿宋_GB2312" w:hAnsi="仿宋_GB2312" w:eastAsia="仿宋_GB2312" w:cs="仿宋_GB2312"/>
          <w:b/>
          <w:bCs/>
          <w:sz w:val="30"/>
          <w:szCs w:val="30"/>
        </w:rPr>
        <w:t>省级教学改革研究项目</w:t>
      </w:r>
      <w:r>
        <w:rPr>
          <w:rFonts w:hint="eastAsia" w:hAnsi="仿宋_GB2312" w:cs="仿宋_GB2312"/>
          <w:b/>
          <w:bCs/>
          <w:sz w:val="30"/>
          <w:szCs w:val="30"/>
          <w:lang w:val="en-US" w:eastAsia="zh-CN"/>
        </w:rPr>
        <w:t>2021年</w:t>
      </w:r>
      <w:r>
        <w:rPr>
          <w:rFonts w:hint="eastAsia" w:ascii="仿宋_GB2312" w:hAnsi="仿宋_GB2312" w:eastAsia="仿宋_GB2312" w:cs="仿宋_GB2312"/>
          <w:b/>
          <w:bCs/>
          <w:sz w:val="30"/>
          <w:szCs w:val="30"/>
        </w:rPr>
        <w:t>需结题</w:t>
      </w:r>
      <w:r>
        <w:rPr>
          <w:rFonts w:hint="eastAsia" w:hAnsi="仿宋_GB2312" w:cs="仿宋_GB2312"/>
          <w:b/>
          <w:bCs/>
          <w:sz w:val="30"/>
          <w:szCs w:val="30"/>
          <w:lang w:val="en-US" w:eastAsia="zh-CN"/>
        </w:rPr>
        <w:t>项目</w:t>
      </w:r>
      <w:r>
        <w:rPr>
          <w:rFonts w:hint="eastAsia" w:ascii="仿宋_GB2312" w:hAnsi="仿宋_GB2312" w:eastAsia="仿宋_GB2312" w:cs="仿宋_GB2312"/>
          <w:b/>
          <w:bCs/>
          <w:sz w:val="30"/>
          <w:szCs w:val="30"/>
        </w:rPr>
        <w:t>汇总表</w:t>
      </w:r>
    </w:p>
    <w:tbl>
      <w:tblPr>
        <w:tblStyle w:val="4"/>
        <w:tblW w:w="13813" w:type="dxa"/>
        <w:jc w:val="center"/>
        <w:tblLayout w:type="fixed"/>
        <w:tblCellMar>
          <w:top w:w="0" w:type="dxa"/>
          <w:left w:w="108" w:type="dxa"/>
          <w:bottom w:w="0" w:type="dxa"/>
          <w:right w:w="108" w:type="dxa"/>
        </w:tblCellMar>
      </w:tblPr>
      <w:tblGrid>
        <w:gridCol w:w="836"/>
        <w:gridCol w:w="8477"/>
        <w:gridCol w:w="1106"/>
        <w:gridCol w:w="1669"/>
        <w:gridCol w:w="1725"/>
      </w:tblGrid>
      <w:tr>
        <w:tblPrEx>
          <w:tblCellMar>
            <w:top w:w="0" w:type="dxa"/>
            <w:left w:w="108" w:type="dxa"/>
            <w:bottom w:w="0" w:type="dxa"/>
            <w:right w:w="108" w:type="dxa"/>
          </w:tblCellMar>
        </w:tblPrEx>
        <w:trPr>
          <w:trHeight w:val="510" w:hRule="exact"/>
          <w:tblHeader/>
          <w:jc w:val="center"/>
        </w:trPr>
        <w:tc>
          <w:tcPr>
            <w:tcW w:w="836"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8477"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课题名称</w:t>
            </w:r>
          </w:p>
        </w:tc>
        <w:tc>
          <w:tcPr>
            <w:tcW w:w="1106"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主持人</w:t>
            </w:r>
          </w:p>
        </w:tc>
        <w:tc>
          <w:tcPr>
            <w:tcW w:w="1669"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所属单位</w:t>
            </w:r>
          </w:p>
        </w:tc>
        <w:tc>
          <w:tcPr>
            <w:tcW w:w="1725"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备注</w:t>
            </w:r>
          </w:p>
        </w:tc>
      </w:tr>
      <w:tr>
        <w:tblPrEx>
          <w:tblCellMar>
            <w:top w:w="0" w:type="dxa"/>
            <w:left w:w="108" w:type="dxa"/>
            <w:bottom w:w="0" w:type="dxa"/>
            <w:right w:w="108" w:type="dxa"/>
          </w:tblCellMar>
        </w:tblPrEx>
        <w:trPr>
          <w:trHeight w:val="510" w:hRule="exact"/>
          <w:jc w:val="center"/>
        </w:trPr>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c>
          <w:tcPr>
            <w:tcW w:w="84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新形势下采矿工程本科生创新能力的教育教学新模式</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彭文庆</w:t>
            </w:r>
          </w:p>
        </w:tc>
        <w:tc>
          <w:tcPr>
            <w:tcW w:w="166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资安学院</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kern w:val="2"/>
                <w:sz w:val="24"/>
                <w:szCs w:val="24"/>
                <w:u w:val="none"/>
                <w:lang w:val="en-US" w:eastAsia="zh-CN" w:bidi="ar-SA"/>
              </w:rPr>
            </w:pPr>
          </w:p>
        </w:tc>
      </w:tr>
      <w:tr>
        <w:tblPrEx>
          <w:tblCellMar>
            <w:top w:w="0" w:type="dxa"/>
            <w:left w:w="108" w:type="dxa"/>
            <w:bottom w:w="0" w:type="dxa"/>
            <w:right w:w="108" w:type="dxa"/>
          </w:tblCellMar>
        </w:tblPrEx>
        <w:trPr>
          <w:trHeight w:val="510" w:hRule="exact"/>
          <w:jc w:val="center"/>
        </w:trPr>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w:t>
            </w:r>
          </w:p>
        </w:tc>
        <w:tc>
          <w:tcPr>
            <w:tcW w:w="84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地方高校土木工程专业面向新工科的高素质应用型工程科技人才培养模式研究</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祝明桥</w:t>
            </w:r>
          </w:p>
        </w:tc>
        <w:tc>
          <w:tcPr>
            <w:tcW w:w="166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土木学院</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kern w:val="2"/>
                <w:sz w:val="24"/>
                <w:szCs w:val="24"/>
                <w:u w:val="none"/>
                <w:lang w:val="en-US" w:eastAsia="zh-CN" w:bidi="ar-SA"/>
              </w:rPr>
            </w:pPr>
          </w:p>
        </w:tc>
      </w:tr>
      <w:tr>
        <w:tblPrEx>
          <w:tblCellMar>
            <w:top w:w="0" w:type="dxa"/>
            <w:left w:w="108" w:type="dxa"/>
            <w:bottom w:w="0" w:type="dxa"/>
            <w:right w:w="108" w:type="dxa"/>
          </w:tblCellMar>
        </w:tblPrEx>
        <w:trPr>
          <w:trHeight w:val="510" w:hRule="exact"/>
          <w:jc w:val="center"/>
        </w:trPr>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w:t>
            </w:r>
          </w:p>
        </w:tc>
        <w:tc>
          <w:tcPr>
            <w:tcW w:w="84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地方高校新工科机电类专业多方协同育人模式改革与实践</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时彧</w:t>
            </w:r>
          </w:p>
        </w:tc>
        <w:tc>
          <w:tcPr>
            <w:tcW w:w="166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机电学院</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kern w:val="2"/>
                <w:sz w:val="24"/>
                <w:szCs w:val="24"/>
                <w:u w:val="none"/>
                <w:lang w:val="en-US" w:eastAsia="zh-CN" w:bidi="ar-SA"/>
              </w:rPr>
            </w:pPr>
          </w:p>
        </w:tc>
      </w:tr>
      <w:tr>
        <w:tblPrEx>
          <w:tblCellMar>
            <w:top w:w="0" w:type="dxa"/>
            <w:left w:w="108" w:type="dxa"/>
            <w:bottom w:w="0" w:type="dxa"/>
            <w:right w:w="108" w:type="dxa"/>
          </w:tblCellMar>
        </w:tblPrEx>
        <w:trPr>
          <w:trHeight w:val="510" w:hRule="exact"/>
          <w:jc w:val="center"/>
        </w:trPr>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w:t>
            </w:r>
          </w:p>
        </w:tc>
        <w:tc>
          <w:tcPr>
            <w:tcW w:w="84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新工科背景下的电工电子实验教学改革与实践</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李  目</w:t>
            </w:r>
          </w:p>
        </w:tc>
        <w:tc>
          <w:tcPr>
            <w:tcW w:w="166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信息学院</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kern w:val="2"/>
                <w:sz w:val="24"/>
                <w:szCs w:val="24"/>
                <w:u w:val="none"/>
                <w:lang w:val="en-US" w:eastAsia="zh-CN" w:bidi="ar-SA"/>
              </w:rPr>
            </w:pPr>
          </w:p>
        </w:tc>
      </w:tr>
      <w:tr>
        <w:tblPrEx>
          <w:tblCellMar>
            <w:top w:w="0" w:type="dxa"/>
            <w:left w:w="108" w:type="dxa"/>
            <w:bottom w:w="0" w:type="dxa"/>
            <w:right w:w="108" w:type="dxa"/>
          </w:tblCellMar>
        </w:tblPrEx>
        <w:trPr>
          <w:trHeight w:val="510" w:hRule="exact"/>
          <w:jc w:val="center"/>
        </w:trPr>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w:t>
            </w:r>
          </w:p>
        </w:tc>
        <w:tc>
          <w:tcPr>
            <w:tcW w:w="84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新工科IT人才的程序设计能力提升策略与教学模式探索</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向德生</w:t>
            </w:r>
          </w:p>
        </w:tc>
        <w:tc>
          <w:tcPr>
            <w:tcW w:w="166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计算机学院</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kern w:val="2"/>
                <w:sz w:val="24"/>
                <w:szCs w:val="24"/>
                <w:u w:val="none"/>
                <w:lang w:val="en-US" w:eastAsia="zh-CN" w:bidi="ar-SA"/>
              </w:rPr>
            </w:pPr>
          </w:p>
        </w:tc>
      </w:tr>
      <w:tr>
        <w:tblPrEx>
          <w:tblCellMar>
            <w:top w:w="0" w:type="dxa"/>
            <w:left w:w="108" w:type="dxa"/>
            <w:bottom w:w="0" w:type="dxa"/>
            <w:right w:w="108" w:type="dxa"/>
          </w:tblCellMar>
        </w:tblPrEx>
        <w:trPr>
          <w:trHeight w:val="510" w:hRule="exact"/>
          <w:jc w:val="center"/>
        </w:trPr>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6</w:t>
            </w:r>
          </w:p>
        </w:tc>
        <w:tc>
          <w:tcPr>
            <w:tcW w:w="84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基于电化学特色的应用化学专业课程群的构建与核心课程建设</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刘立华</w:t>
            </w:r>
          </w:p>
        </w:tc>
        <w:tc>
          <w:tcPr>
            <w:tcW w:w="166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化工学院</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kern w:val="2"/>
                <w:sz w:val="24"/>
                <w:szCs w:val="24"/>
                <w:u w:val="none"/>
                <w:lang w:val="en-US" w:eastAsia="zh-CN" w:bidi="ar-SA"/>
              </w:rPr>
            </w:pPr>
          </w:p>
        </w:tc>
      </w:tr>
      <w:tr>
        <w:tblPrEx>
          <w:tblCellMar>
            <w:top w:w="0" w:type="dxa"/>
            <w:left w:w="108" w:type="dxa"/>
            <w:bottom w:w="0" w:type="dxa"/>
            <w:right w:w="108" w:type="dxa"/>
          </w:tblCellMar>
        </w:tblPrEx>
        <w:trPr>
          <w:trHeight w:val="510" w:hRule="exact"/>
          <w:jc w:val="center"/>
        </w:trPr>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7</w:t>
            </w:r>
          </w:p>
        </w:tc>
        <w:tc>
          <w:tcPr>
            <w:tcW w:w="84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大数据背景下数值分析课程教学改革研究</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彭卓华</w:t>
            </w:r>
          </w:p>
        </w:tc>
        <w:tc>
          <w:tcPr>
            <w:tcW w:w="166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数学学院</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kern w:val="2"/>
                <w:sz w:val="24"/>
                <w:szCs w:val="24"/>
                <w:u w:val="none"/>
                <w:lang w:val="en-US" w:eastAsia="zh-CN" w:bidi="ar-SA"/>
              </w:rPr>
            </w:pPr>
          </w:p>
        </w:tc>
      </w:tr>
      <w:tr>
        <w:tblPrEx>
          <w:tblCellMar>
            <w:top w:w="0" w:type="dxa"/>
            <w:left w:w="108" w:type="dxa"/>
            <w:bottom w:w="0" w:type="dxa"/>
            <w:right w:w="108" w:type="dxa"/>
          </w:tblCellMar>
        </w:tblPrEx>
        <w:trPr>
          <w:trHeight w:val="510" w:hRule="exact"/>
          <w:jc w:val="center"/>
        </w:trPr>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8</w:t>
            </w:r>
          </w:p>
        </w:tc>
        <w:tc>
          <w:tcPr>
            <w:tcW w:w="84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以激发学生创新力为导向的电动力学课程教学改革与实践</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殷文金</w:t>
            </w:r>
          </w:p>
        </w:tc>
        <w:tc>
          <w:tcPr>
            <w:tcW w:w="166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物电学院</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kern w:val="2"/>
                <w:sz w:val="24"/>
                <w:szCs w:val="24"/>
                <w:u w:val="none"/>
                <w:lang w:val="en-US" w:eastAsia="zh-CN" w:bidi="ar-SA"/>
              </w:rPr>
            </w:pPr>
          </w:p>
        </w:tc>
      </w:tr>
      <w:tr>
        <w:tblPrEx>
          <w:tblCellMar>
            <w:top w:w="0" w:type="dxa"/>
            <w:left w:w="108" w:type="dxa"/>
            <w:bottom w:w="0" w:type="dxa"/>
            <w:right w:w="108" w:type="dxa"/>
          </w:tblCellMar>
        </w:tblPrEx>
        <w:trPr>
          <w:trHeight w:val="510" w:hRule="exact"/>
          <w:jc w:val="center"/>
        </w:trPr>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w:t>
            </w:r>
          </w:p>
        </w:tc>
        <w:tc>
          <w:tcPr>
            <w:tcW w:w="84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新形势下生物类本科《生物信息学》课程教学内容与模式的改革与实践研究</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袁志栋</w:t>
            </w:r>
          </w:p>
        </w:tc>
        <w:tc>
          <w:tcPr>
            <w:tcW w:w="166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生科院</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kern w:val="2"/>
                <w:sz w:val="24"/>
                <w:szCs w:val="24"/>
                <w:u w:val="none"/>
                <w:lang w:val="en-US" w:eastAsia="zh-CN" w:bidi="ar-SA"/>
              </w:rPr>
            </w:pPr>
          </w:p>
        </w:tc>
      </w:tr>
      <w:tr>
        <w:tblPrEx>
          <w:tblCellMar>
            <w:top w:w="0" w:type="dxa"/>
            <w:left w:w="108" w:type="dxa"/>
            <w:bottom w:w="0" w:type="dxa"/>
            <w:right w:w="108" w:type="dxa"/>
          </w:tblCellMar>
        </w:tblPrEx>
        <w:trPr>
          <w:trHeight w:val="510" w:hRule="exact"/>
          <w:jc w:val="center"/>
        </w:trPr>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10</w:t>
            </w:r>
          </w:p>
        </w:tc>
        <w:tc>
          <w:tcPr>
            <w:tcW w:w="84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建筑学专业工程实训教学体系研究</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郭俊明</w:t>
            </w:r>
          </w:p>
        </w:tc>
        <w:tc>
          <w:tcPr>
            <w:tcW w:w="166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建艺学院</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kern w:val="2"/>
                <w:sz w:val="24"/>
                <w:szCs w:val="24"/>
                <w:u w:val="none"/>
                <w:lang w:val="en-US" w:eastAsia="zh-CN" w:bidi="ar-SA"/>
              </w:rPr>
            </w:pPr>
          </w:p>
        </w:tc>
      </w:tr>
      <w:tr>
        <w:tblPrEx>
          <w:tblCellMar>
            <w:top w:w="0" w:type="dxa"/>
            <w:left w:w="108" w:type="dxa"/>
            <w:bottom w:w="0" w:type="dxa"/>
            <w:right w:w="108" w:type="dxa"/>
          </w:tblCellMar>
        </w:tblPrEx>
        <w:trPr>
          <w:trHeight w:val="510" w:hRule="exact"/>
          <w:jc w:val="center"/>
        </w:trPr>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11</w:t>
            </w:r>
          </w:p>
        </w:tc>
        <w:tc>
          <w:tcPr>
            <w:tcW w:w="84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基于胜任力的高水平综合性大学汉语言文学专业创新人才培养研究</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胡志明</w:t>
            </w:r>
          </w:p>
        </w:tc>
        <w:tc>
          <w:tcPr>
            <w:tcW w:w="166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人文学院</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kern w:val="2"/>
                <w:sz w:val="24"/>
                <w:szCs w:val="24"/>
                <w:u w:val="none"/>
                <w:lang w:val="en-US" w:eastAsia="zh-CN" w:bidi="ar-SA"/>
              </w:rPr>
            </w:pPr>
          </w:p>
        </w:tc>
      </w:tr>
      <w:tr>
        <w:tblPrEx>
          <w:tblCellMar>
            <w:top w:w="0" w:type="dxa"/>
            <w:left w:w="108" w:type="dxa"/>
            <w:bottom w:w="0" w:type="dxa"/>
            <w:right w:w="108" w:type="dxa"/>
          </w:tblCellMar>
        </w:tblPrEx>
        <w:trPr>
          <w:trHeight w:val="510" w:hRule="exact"/>
          <w:jc w:val="center"/>
        </w:trPr>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12</w:t>
            </w:r>
          </w:p>
        </w:tc>
        <w:tc>
          <w:tcPr>
            <w:tcW w:w="84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汉语国际教育专业人才培养目标与实践教学模式创新研究</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李琳</w:t>
            </w:r>
          </w:p>
        </w:tc>
        <w:tc>
          <w:tcPr>
            <w:tcW w:w="166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外语学院</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kern w:val="2"/>
                <w:sz w:val="24"/>
                <w:szCs w:val="24"/>
                <w:u w:val="none"/>
                <w:lang w:val="en-US" w:eastAsia="zh-CN" w:bidi="ar-SA"/>
              </w:rPr>
            </w:pPr>
          </w:p>
        </w:tc>
      </w:tr>
      <w:tr>
        <w:tblPrEx>
          <w:tblCellMar>
            <w:top w:w="0" w:type="dxa"/>
            <w:left w:w="108" w:type="dxa"/>
            <w:bottom w:w="0" w:type="dxa"/>
            <w:right w:w="108" w:type="dxa"/>
          </w:tblCellMar>
        </w:tblPrEx>
        <w:trPr>
          <w:trHeight w:val="510" w:hRule="exact"/>
          <w:jc w:val="center"/>
        </w:trPr>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13</w:t>
            </w:r>
          </w:p>
        </w:tc>
        <w:tc>
          <w:tcPr>
            <w:tcW w:w="84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“学生发展核心素养”导向的教师教育课程改革研究与实践</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王贤文</w:t>
            </w:r>
          </w:p>
        </w:tc>
        <w:tc>
          <w:tcPr>
            <w:tcW w:w="166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教育学院</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kern w:val="2"/>
                <w:sz w:val="24"/>
                <w:szCs w:val="24"/>
                <w:u w:val="none"/>
                <w:lang w:val="en-US" w:eastAsia="zh-CN" w:bidi="ar-SA"/>
              </w:rPr>
            </w:pPr>
          </w:p>
        </w:tc>
      </w:tr>
      <w:tr>
        <w:tblPrEx>
          <w:tblCellMar>
            <w:top w:w="0" w:type="dxa"/>
            <w:left w:w="108" w:type="dxa"/>
            <w:bottom w:w="0" w:type="dxa"/>
            <w:right w:w="108" w:type="dxa"/>
          </w:tblCellMar>
        </w:tblPrEx>
        <w:trPr>
          <w:trHeight w:val="510" w:hRule="exact"/>
          <w:jc w:val="center"/>
        </w:trPr>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14</w:t>
            </w:r>
          </w:p>
        </w:tc>
        <w:tc>
          <w:tcPr>
            <w:tcW w:w="84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卓越人才培养目标下《国际金融理论与实务》课程教学改革研究与实践</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刘莉君</w:t>
            </w:r>
          </w:p>
        </w:tc>
        <w:tc>
          <w:tcPr>
            <w:tcW w:w="166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商学院</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kern w:val="2"/>
                <w:sz w:val="24"/>
                <w:szCs w:val="24"/>
                <w:u w:val="none"/>
                <w:lang w:val="en-US" w:eastAsia="zh-CN" w:bidi="ar-SA"/>
              </w:rPr>
            </w:pPr>
          </w:p>
        </w:tc>
      </w:tr>
      <w:tr>
        <w:tblPrEx>
          <w:tblCellMar>
            <w:top w:w="0" w:type="dxa"/>
            <w:left w:w="108" w:type="dxa"/>
            <w:bottom w:w="0" w:type="dxa"/>
            <w:right w:w="108" w:type="dxa"/>
          </w:tblCellMar>
        </w:tblPrEx>
        <w:trPr>
          <w:trHeight w:val="510" w:hRule="exact"/>
          <w:jc w:val="center"/>
        </w:trPr>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15</w:t>
            </w:r>
          </w:p>
        </w:tc>
        <w:tc>
          <w:tcPr>
            <w:tcW w:w="84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基于默会理论的高校声乐教学实践研究</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李俊</w:t>
            </w:r>
          </w:p>
        </w:tc>
        <w:tc>
          <w:tcPr>
            <w:tcW w:w="166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艺术学院</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kern w:val="2"/>
                <w:sz w:val="24"/>
                <w:szCs w:val="24"/>
                <w:u w:val="none"/>
                <w:lang w:val="en-US" w:eastAsia="zh-CN" w:bidi="ar-SA"/>
              </w:rPr>
            </w:pPr>
          </w:p>
        </w:tc>
      </w:tr>
      <w:tr>
        <w:tblPrEx>
          <w:tblCellMar>
            <w:top w:w="0" w:type="dxa"/>
            <w:left w:w="108" w:type="dxa"/>
            <w:bottom w:w="0" w:type="dxa"/>
            <w:right w:w="108" w:type="dxa"/>
          </w:tblCellMar>
        </w:tblPrEx>
        <w:trPr>
          <w:trHeight w:val="807" w:hRule="exact"/>
          <w:jc w:val="center"/>
        </w:trPr>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16</w:t>
            </w:r>
          </w:p>
        </w:tc>
        <w:tc>
          <w:tcPr>
            <w:tcW w:w="84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以学生为中心，开展线上线下相融合的教学研究--以湖南科大2015级体育专业篮球选项班为例</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唐海军</w:t>
            </w:r>
          </w:p>
        </w:tc>
        <w:tc>
          <w:tcPr>
            <w:tcW w:w="166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体育学院</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kern w:val="2"/>
                <w:sz w:val="24"/>
                <w:szCs w:val="24"/>
                <w:u w:val="none"/>
                <w:lang w:val="en-US" w:eastAsia="zh-CN" w:bidi="ar-SA"/>
              </w:rPr>
            </w:pPr>
          </w:p>
        </w:tc>
      </w:tr>
      <w:tr>
        <w:tblPrEx>
          <w:tblCellMar>
            <w:top w:w="0" w:type="dxa"/>
            <w:left w:w="108" w:type="dxa"/>
            <w:bottom w:w="0" w:type="dxa"/>
            <w:right w:w="108" w:type="dxa"/>
          </w:tblCellMar>
        </w:tblPrEx>
        <w:trPr>
          <w:trHeight w:val="510" w:hRule="exact"/>
          <w:jc w:val="center"/>
        </w:trPr>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17</w:t>
            </w:r>
          </w:p>
        </w:tc>
        <w:tc>
          <w:tcPr>
            <w:tcW w:w="84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统一法律职业资格制度下的法学专业课程体系改革研究</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宋智敏</w:t>
            </w:r>
          </w:p>
        </w:tc>
        <w:tc>
          <w:tcPr>
            <w:tcW w:w="166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法管学院</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kern w:val="2"/>
                <w:sz w:val="24"/>
                <w:szCs w:val="24"/>
                <w:u w:val="none"/>
                <w:lang w:val="en-US" w:eastAsia="zh-CN" w:bidi="ar-SA"/>
              </w:rPr>
            </w:pPr>
          </w:p>
        </w:tc>
      </w:tr>
      <w:tr>
        <w:tblPrEx>
          <w:tblCellMar>
            <w:top w:w="0" w:type="dxa"/>
            <w:left w:w="108" w:type="dxa"/>
            <w:bottom w:w="0" w:type="dxa"/>
            <w:right w:w="108" w:type="dxa"/>
          </w:tblCellMar>
        </w:tblPrEx>
        <w:trPr>
          <w:trHeight w:val="510" w:hRule="exact"/>
          <w:jc w:val="center"/>
        </w:trPr>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18</w:t>
            </w:r>
          </w:p>
        </w:tc>
        <w:tc>
          <w:tcPr>
            <w:tcW w:w="84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基于新材料高技术人才培养的材料化学专业课程体系教学改革研究与应用</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陈丽娟</w:t>
            </w:r>
          </w:p>
        </w:tc>
        <w:tc>
          <w:tcPr>
            <w:tcW w:w="166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材料学院</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kern w:val="2"/>
                <w:sz w:val="24"/>
                <w:szCs w:val="24"/>
                <w:u w:val="none"/>
                <w:lang w:val="en-US" w:eastAsia="zh-CN" w:bidi="ar-SA"/>
              </w:rPr>
            </w:pPr>
          </w:p>
        </w:tc>
      </w:tr>
      <w:tr>
        <w:tblPrEx>
          <w:tblCellMar>
            <w:top w:w="0" w:type="dxa"/>
            <w:left w:w="108" w:type="dxa"/>
            <w:bottom w:w="0" w:type="dxa"/>
            <w:right w:w="108" w:type="dxa"/>
          </w:tblCellMar>
        </w:tblPrEx>
        <w:trPr>
          <w:trHeight w:val="510" w:hRule="exact"/>
          <w:jc w:val="center"/>
        </w:trPr>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19</w:t>
            </w:r>
          </w:p>
        </w:tc>
        <w:tc>
          <w:tcPr>
            <w:tcW w:w="84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多元化视野下高校学生综合素质评价体系在继续教育中的应用研究</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尹风雨</w:t>
            </w:r>
          </w:p>
        </w:tc>
        <w:tc>
          <w:tcPr>
            <w:tcW w:w="166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学工处</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继续教育项目</w:t>
            </w:r>
          </w:p>
        </w:tc>
      </w:tr>
      <w:tr>
        <w:tblPrEx>
          <w:tblCellMar>
            <w:top w:w="0" w:type="dxa"/>
            <w:left w:w="108" w:type="dxa"/>
            <w:bottom w:w="0" w:type="dxa"/>
            <w:right w:w="108" w:type="dxa"/>
          </w:tblCellMar>
        </w:tblPrEx>
        <w:trPr>
          <w:trHeight w:val="510" w:hRule="exact"/>
          <w:jc w:val="center"/>
        </w:trPr>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w:t>
            </w:r>
          </w:p>
        </w:tc>
        <w:tc>
          <w:tcPr>
            <w:tcW w:w="84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高校继续教育多元化和多层次办学模式研究</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朱萍</w:t>
            </w:r>
          </w:p>
        </w:tc>
        <w:tc>
          <w:tcPr>
            <w:tcW w:w="166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继续教育学院</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继续教育项目</w:t>
            </w:r>
          </w:p>
        </w:tc>
      </w:tr>
      <w:tr>
        <w:tblPrEx>
          <w:tblCellMar>
            <w:top w:w="0" w:type="dxa"/>
            <w:left w:w="108" w:type="dxa"/>
            <w:bottom w:w="0" w:type="dxa"/>
            <w:right w:w="108" w:type="dxa"/>
          </w:tblCellMar>
        </w:tblPrEx>
        <w:trPr>
          <w:trHeight w:val="510" w:hRule="exact"/>
          <w:jc w:val="center"/>
        </w:trPr>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21</w:t>
            </w:r>
          </w:p>
        </w:tc>
        <w:tc>
          <w:tcPr>
            <w:tcW w:w="84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大学英语文化类课程CLIL教学模式研究与实践</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曾建松</w:t>
            </w:r>
          </w:p>
        </w:tc>
        <w:tc>
          <w:tcPr>
            <w:tcW w:w="166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外语学院</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公共外语项目</w:t>
            </w:r>
          </w:p>
        </w:tc>
      </w:tr>
      <w:tr>
        <w:tblPrEx>
          <w:tblCellMar>
            <w:top w:w="0" w:type="dxa"/>
            <w:left w:w="108" w:type="dxa"/>
            <w:bottom w:w="0" w:type="dxa"/>
            <w:right w:w="108" w:type="dxa"/>
          </w:tblCellMar>
        </w:tblPrEx>
        <w:trPr>
          <w:trHeight w:val="510" w:hRule="exact"/>
          <w:jc w:val="center"/>
        </w:trPr>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22</w:t>
            </w:r>
          </w:p>
        </w:tc>
        <w:tc>
          <w:tcPr>
            <w:tcW w:w="84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形成性评估在大学英语写作教学中的应用研究</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黄佳佳</w:t>
            </w:r>
          </w:p>
        </w:tc>
        <w:tc>
          <w:tcPr>
            <w:tcW w:w="166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外语学院</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公共外语项目</w:t>
            </w:r>
          </w:p>
        </w:tc>
      </w:tr>
      <w:tr>
        <w:tblPrEx>
          <w:tblCellMar>
            <w:top w:w="0" w:type="dxa"/>
            <w:left w:w="108" w:type="dxa"/>
            <w:bottom w:w="0" w:type="dxa"/>
            <w:right w:w="108" w:type="dxa"/>
          </w:tblCellMar>
        </w:tblPrEx>
        <w:trPr>
          <w:trHeight w:val="510" w:hRule="exact"/>
          <w:jc w:val="center"/>
        </w:trPr>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23</w:t>
            </w:r>
          </w:p>
        </w:tc>
        <w:tc>
          <w:tcPr>
            <w:tcW w:w="84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现代信息环境下图书馆员胜任特征及其培养改革研究</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彭清华</w:t>
            </w:r>
          </w:p>
        </w:tc>
        <w:tc>
          <w:tcPr>
            <w:tcW w:w="166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商学院</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学会推荐项目</w:t>
            </w:r>
          </w:p>
        </w:tc>
      </w:tr>
      <w:tr>
        <w:tblPrEx>
          <w:tblCellMar>
            <w:top w:w="0" w:type="dxa"/>
            <w:left w:w="108" w:type="dxa"/>
            <w:bottom w:w="0" w:type="dxa"/>
            <w:right w:w="108" w:type="dxa"/>
          </w:tblCellMar>
        </w:tblPrEx>
        <w:trPr>
          <w:trHeight w:val="510" w:hRule="exact"/>
          <w:jc w:val="center"/>
        </w:trPr>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24</w:t>
            </w:r>
          </w:p>
        </w:tc>
        <w:tc>
          <w:tcPr>
            <w:tcW w:w="84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基于“微媒体”的大学生创新创业课程教学模式与应用研究</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刘韧</w:t>
            </w:r>
          </w:p>
        </w:tc>
        <w:tc>
          <w:tcPr>
            <w:tcW w:w="166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资安学院</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学会推荐项目</w:t>
            </w:r>
          </w:p>
        </w:tc>
      </w:tr>
      <w:tr>
        <w:tblPrEx>
          <w:tblCellMar>
            <w:top w:w="0" w:type="dxa"/>
            <w:left w:w="108" w:type="dxa"/>
            <w:bottom w:w="0" w:type="dxa"/>
            <w:right w:w="108" w:type="dxa"/>
          </w:tblCellMar>
        </w:tblPrEx>
        <w:trPr>
          <w:trHeight w:val="510" w:hRule="exact"/>
          <w:jc w:val="center"/>
        </w:trPr>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25</w:t>
            </w:r>
          </w:p>
        </w:tc>
        <w:tc>
          <w:tcPr>
            <w:tcW w:w="84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“新课改”视野下仿真实验在物理师范教育中的研究与实践</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付响云</w:t>
            </w:r>
          </w:p>
        </w:tc>
        <w:tc>
          <w:tcPr>
            <w:tcW w:w="166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fldChar w:fldCharType="begin"/>
            </w:r>
            <w:r>
              <w:rPr>
                <w:rFonts w:hint="eastAsia" w:ascii="宋体" w:hAnsi="宋体" w:eastAsia="宋体" w:cs="宋体"/>
                <w:i w:val="0"/>
                <w:color w:val="auto"/>
                <w:kern w:val="0"/>
                <w:sz w:val="24"/>
                <w:szCs w:val="24"/>
                <w:u w:val="none"/>
                <w:lang w:val="en-US" w:eastAsia="zh-CN" w:bidi="ar"/>
              </w:rPr>
              <w:instrText xml:space="preserve"> HYPERLINK "http://wlxy.hnust.edu.cn/" </w:instrText>
            </w:r>
            <w:r>
              <w:rPr>
                <w:rFonts w:hint="eastAsia" w:ascii="宋体" w:hAnsi="宋体" w:eastAsia="宋体" w:cs="宋体"/>
                <w:i w:val="0"/>
                <w:color w:val="auto"/>
                <w:kern w:val="0"/>
                <w:sz w:val="24"/>
                <w:szCs w:val="24"/>
                <w:u w:val="none"/>
                <w:lang w:val="en-US" w:eastAsia="zh-CN" w:bidi="ar"/>
              </w:rPr>
              <w:fldChar w:fldCharType="separate"/>
            </w:r>
            <w:r>
              <w:rPr>
                <w:rStyle w:val="6"/>
                <w:rFonts w:hint="eastAsia" w:ascii="宋体" w:hAnsi="宋体" w:eastAsia="宋体" w:cs="宋体"/>
                <w:i w:val="0"/>
                <w:color w:val="auto"/>
                <w:sz w:val="24"/>
                <w:szCs w:val="24"/>
                <w:u w:val="none"/>
              </w:rPr>
              <w:t>物电学院</w:t>
            </w:r>
            <w:r>
              <w:rPr>
                <w:rFonts w:hint="eastAsia" w:ascii="宋体" w:hAnsi="宋体" w:eastAsia="宋体" w:cs="宋体"/>
                <w:i w:val="0"/>
                <w:color w:val="auto"/>
                <w:kern w:val="0"/>
                <w:sz w:val="24"/>
                <w:szCs w:val="24"/>
                <w:u w:val="none"/>
                <w:lang w:val="en-US" w:eastAsia="zh-CN" w:bidi="ar"/>
              </w:rPr>
              <w:fldChar w:fldCharType="end"/>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2016年立项</w:t>
            </w:r>
          </w:p>
        </w:tc>
      </w:tr>
      <w:tr>
        <w:tblPrEx>
          <w:tblCellMar>
            <w:top w:w="0" w:type="dxa"/>
            <w:left w:w="108" w:type="dxa"/>
            <w:bottom w:w="0" w:type="dxa"/>
            <w:right w:w="108" w:type="dxa"/>
          </w:tblCellMar>
        </w:tblPrEx>
        <w:trPr>
          <w:trHeight w:val="903" w:hRule="exact"/>
          <w:jc w:val="center"/>
        </w:trPr>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26</w:t>
            </w:r>
          </w:p>
        </w:tc>
        <w:tc>
          <w:tcPr>
            <w:tcW w:w="84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基于拓宽环境工程设计领域与加强实践能力培养的《环境工程综合设计》课程改革</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吴湘江</w:t>
            </w:r>
          </w:p>
        </w:tc>
        <w:tc>
          <w:tcPr>
            <w:tcW w:w="166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fldChar w:fldCharType="begin"/>
            </w:r>
            <w:r>
              <w:rPr>
                <w:rFonts w:hint="eastAsia" w:ascii="宋体" w:hAnsi="宋体" w:eastAsia="宋体" w:cs="宋体"/>
                <w:i w:val="0"/>
                <w:color w:val="auto"/>
                <w:kern w:val="0"/>
                <w:sz w:val="24"/>
                <w:szCs w:val="24"/>
                <w:u w:val="none"/>
                <w:lang w:val="en-US" w:eastAsia="zh-CN" w:bidi="ar"/>
              </w:rPr>
              <w:instrText xml:space="preserve"> HYPERLINK "http://dep.hnust.cn/chem/" </w:instrText>
            </w:r>
            <w:r>
              <w:rPr>
                <w:rFonts w:hint="eastAsia" w:ascii="宋体" w:hAnsi="宋体" w:eastAsia="宋体" w:cs="宋体"/>
                <w:i w:val="0"/>
                <w:color w:val="auto"/>
                <w:kern w:val="0"/>
                <w:sz w:val="24"/>
                <w:szCs w:val="24"/>
                <w:u w:val="none"/>
                <w:lang w:val="en-US" w:eastAsia="zh-CN" w:bidi="ar"/>
              </w:rPr>
              <w:fldChar w:fldCharType="separate"/>
            </w:r>
            <w:r>
              <w:rPr>
                <w:rStyle w:val="6"/>
                <w:rFonts w:hint="eastAsia" w:ascii="宋体" w:hAnsi="宋体" w:eastAsia="宋体" w:cs="宋体"/>
                <w:i w:val="0"/>
                <w:color w:val="auto"/>
                <w:sz w:val="24"/>
                <w:szCs w:val="24"/>
                <w:u w:val="none"/>
              </w:rPr>
              <w:t>化工学院</w:t>
            </w:r>
            <w:r>
              <w:rPr>
                <w:rFonts w:hint="eastAsia" w:ascii="宋体" w:hAnsi="宋体" w:eastAsia="宋体" w:cs="宋体"/>
                <w:i w:val="0"/>
                <w:color w:val="auto"/>
                <w:kern w:val="0"/>
                <w:sz w:val="24"/>
                <w:szCs w:val="24"/>
                <w:u w:val="none"/>
                <w:lang w:val="en-US" w:eastAsia="zh-CN" w:bidi="ar"/>
              </w:rPr>
              <w:fldChar w:fldCharType="end"/>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2016年立项</w:t>
            </w:r>
          </w:p>
        </w:tc>
      </w:tr>
    </w:tbl>
    <w:p/>
    <w:sectPr>
      <w:pgSz w:w="16838" w:h="11906" w:orient="landscape"/>
      <w:pgMar w:top="1797" w:right="1440" w:bottom="1417" w:left="1440" w:header="851" w:footer="992" w:gutter="0"/>
      <w:cols w:space="0" w:num="1"/>
      <w:rtlGutter w:val="0"/>
      <w:docGrid w:type="lines" w:linePitch="45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22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6D4"/>
    <w:rsid w:val="0001080F"/>
    <w:rsid w:val="00015212"/>
    <w:rsid w:val="000205AD"/>
    <w:rsid w:val="000208ED"/>
    <w:rsid w:val="00027989"/>
    <w:rsid w:val="00037122"/>
    <w:rsid w:val="00081974"/>
    <w:rsid w:val="000911FE"/>
    <w:rsid w:val="000926C2"/>
    <w:rsid w:val="000A5542"/>
    <w:rsid w:val="000A7210"/>
    <w:rsid w:val="000B0F3C"/>
    <w:rsid w:val="000B1DA0"/>
    <w:rsid w:val="000B4554"/>
    <w:rsid w:val="000C2880"/>
    <w:rsid w:val="000D12C2"/>
    <w:rsid w:val="000D144A"/>
    <w:rsid w:val="000E78D9"/>
    <w:rsid w:val="00102930"/>
    <w:rsid w:val="00104146"/>
    <w:rsid w:val="001141BE"/>
    <w:rsid w:val="001320ED"/>
    <w:rsid w:val="00137BF2"/>
    <w:rsid w:val="0014295F"/>
    <w:rsid w:val="001434BE"/>
    <w:rsid w:val="001511EF"/>
    <w:rsid w:val="0016552A"/>
    <w:rsid w:val="00175825"/>
    <w:rsid w:val="00182F3F"/>
    <w:rsid w:val="001923F0"/>
    <w:rsid w:val="001A595B"/>
    <w:rsid w:val="001C53AC"/>
    <w:rsid w:val="001E7A0E"/>
    <w:rsid w:val="001F5826"/>
    <w:rsid w:val="00206474"/>
    <w:rsid w:val="00213BCB"/>
    <w:rsid w:val="00217B93"/>
    <w:rsid w:val="00223AA7"/>
    <w:rsid w:val="00230FC0"/>
    <w:rsid w:val="0023110A"/>
    <w:rsid w:val="0023167F"/>
    <w:rsid w:val="00235159"/>
    <w:rsid w:val="002424CF"/>
    <w:rsid w:val="00246240"/>
    <w:rsid w:val="00252D03"/>
    <w:rsid w:val="002654FD"/>
    <w:rsid w:val="002760FA"/>
    <w:rsid w:val="00280517"/>
    <w:rsid w:val="00285553"/>
    <w:rsid w:val="00286281"/>
    <w:rsid w:val="002869AF"/>
    <w:rsid w:val="002947CB"/>
    <w:rsid w:val="002A229E"/>
    <w:rsid w:val="002C2AEB"/>
    <w:rsid w:val="002C3512"/>
    <w:rsid w:val="002C6EE5"/>
    <w:rsid w:val="002D3B84"/>
    <w:rsid w:val="002E141F"/>
    <w:rsid w:val="002F083F"/>
    <w:rsid w:val="00312670"/>
    <w:rsid w:val="00324115"/>
    <w:rsid w:val="0032756A"/>
    <w:rsid w:val="003478BE"/>
    <w:rsid w:val="00350AB4"/>
    <w:rsid w:val="00354113"/>
    <w:rsid w:val="003543D2"/>
    <w:rsid w:val="003615BE"/>
    <w:rsid w:val="00370CBE"/>
    <w:rsid w:val="00375026"/>
    <w:rsid w:val="0037599A"/>
    <w:rsid w:val="00376D53"/>
    <w:rsid w:val="00376E67"/>
    <w:rsid w:val="00383FFA"/>
    <w:rsid w:val="003A580F"/>
    <w:rsid w:val="003A796E"/>
    <w:rsid w:val="003C1EDD"/>
    <w:rsid w:val="003D12AA"/>
    <w:rsid w:val="003F232C"/>
    <w:rsid w:val="003F29AE"/>
    <w:rsid w:val="003F2A1E"/>
    <w:rsid w:val="003F53D6"/>
    <w:rsid w:val="00400A1B"/>
    <w:rsid w:val="004048E6"/>
    <w:rsid w:val="004134A2"/>
    <w:rsid w:val="004163FA"/>
    <w:rsid w:val="00433D40"/>
    <w:rsid w:val="00441774"/>
    <w:rsid w:val="00442EE6"/>
    <w:rsid w:val="004433C5"/>
    <w:rsid w:val="00447E38"/>
    <w:rsid w:val="0045198B"/>
    <w:rsid w:val="0045474E"/>
    <w:rsid w:val="00455E11"/>
    <w:rsid w:val="00457D29"/>
    <w:rsid w:val="004670D4"/>
    <w:rsid w:val="004723C9"/>
    <w:rsid w:val="00487C5B"/>
    <w:rsid w:val="004914F2"/>
    <w:rsid w:val="00495AC7"/>
    <w:rsid w:val="00497CA7"/>
    <w:rsid w:val="004B254B"/>
    <w:rsid w:val="004B4689"/>
    <w:rsid w:val="004B5E68"/>
    <w:rsid w:val="004B7DC5"/>
    <w:rsid w:val="004C0C91"/>
    <w:rsid w:val="004C2063"/>
    <w:rsid w:val="004C6568"/>
    <w:rsid w:val="004E1BA4"/>
    <w:rsid w:val="004E462E"/>
    <w:rsid w:val="004F5A5C"/>
    <w:rsid w:val="00500AF7"/>
    <w:rsid w:val="00504069"/>
    <w:rsid w:val="00510766"/>
    <w:rsid w:val="005142D6"/>
    <w:rsid w:val="005318DD"/>
    <w:rsid w:val="00536BF6"/>
    <w:rsid w:val="00552F37"/>
    <w:rsid w:val="0055780B"/>
    <w:rsid w:val="00594BA2"/>
    <w:rsid w:val="00595A02"/>
    <w:rsid w:val="005A714D"/>
    <w:rsid w:val="005B3DD1"/>
    <w:rsid w:val="005C27E2"/>
    <w:rsid w:val="005C7DBC"/>
    <w:rsid w:val="005E6D52"/>
    <w:rsid w:val="005F1997"/>
    <w:rsid w:val="005F51C9"/>
    <w:rsid w:val="005F6C67"/>
    <w:rsid w:val="005F6E54"/>
    <w:rsid w:val="0060043F"/>
    <w:rsid w:val="00607332"/>
    <w:rsid w:val="00625F51"/>
    <w:rsid w:val="00632E3D"/>
    <w:rsid w:val="006378E8"/>
    <w:rsid w:val="006569B8"/>
    <w:rsid w:val="00657D47"/>
    <w:rsid w:val="006733E7"/>
    <w:rsid w:val="00677016"/>
    <w:rsid w:val="00680005"/>
    <w:rsid w:val="00687C7C"/>
    <w:rsid w:val="00691247"/>
    <w:rsid w:val="00692A8F"/>
    <w:rsid w:val="006962E3"/>
    <w:rsid w:val="006B707E"/>
    <w:rsid w:val="006C6BD9"/>
    <w:rsid w:val="006C70DC"/>
    <w:rsid w:val="006D0281"/>
    <w:rsid w:val="006E0082"/>
    <w:rsid w:val="006E6A41"/>
    <w:rsid w:val="006F08B1"/>
    <w:rsid w:val="00700379"/>
    <w:rsid w:val="007035CF"/>
    <w:rsid w:val="0072372A"/>
    <w:rsid w:val="00724E44"/>
    <w:rsid w:val="00735AB0"/>
    <w:rsid w:val="0073751B"/>
    <w:rsid w:val="00740B48"/>
    <w:rsid w:val="00742415"/>
    <w:rsid w:val="0074265D"/>
    <w:rsid w:val="00743472"/>
    <w:rsid w:val="00744B76"/>
    <w:rsid w:val="00745BC9"/>
    <w:rsid w:val="00745D91"/>
    <w:rsid w:val="00761B7E"/>
    <w:rsid w:val="00773E23"/>
    <w:rsid w:val="00796597"/>
    <w:rsid w:val="007A3613"/>
    <w:rsid w:val="007B6558"/>
    <w:rsid w:val="007B76D4"/>
    <w:rsid w:val="007C0D45"/>
    <w:rsid w:val="007C592B"/>
    <w:rsid w:val="007C5AF1"/>
    <w:rsid w:val="007C6310"/>
    <w:rsid w:val="007C6F9C"/>
    <w:rsid w:val="007D51B5"/>
    <w:rsid w:val="007D7B2C"/>
    <w:rsid w:val="007E52F1"/>
    <w:rsid w:val="007F393A"/>
    <w:rsid w:val="007F4566"/>
    <w:rsid w:val="007F50C2"/>
    <w:rsid w:val="007F52ED"/>
    <w:rsid w:val="007F6FAC"/>
    <w:rsid w:val="008050DE"/>
    <w:rsid w:val="00807146"/>
    <w:rsid w:val="0081098F"/>
    <w:rsid w:val="008133A1"/>
    <w:rsid w:val="0082792B"/>
    <w:rsid w:val="0083621B"/>
    <w:rsid w:val="00837584"/>
    <w:rsid w:val="00877F8F"/>
    <w:rsid w:val="00890F02"/>
    <w:rsid w:val="0089338B"/>
    <w:rsid w:val="008A018C"/>
    <w:rsid w:val="008A0A7F"/>
    <w:rsid w:val="008A126B"/>
    <w:rsid w:val="008A3338"/>
    <w:rsid w:val="008A7D4F"/>
    <w:rsid w:val="008B3B62"/>
    <w:rsid w:val="008C09BB"/>
    <w:rsid w:val="008C467C"/>
    <w:rsid w:val="008E2AEA"/>
    <w:rsid w:val="00906484"/>
    <w:rsid w:val="00907847"/>
    <w:rsid w:val="009245DB"/>
    <w:rsid w:val="00924E50"/>
    <w:rsid w:val="00930659"/>
    <w:rsid w:val="00936F13"/>
    <w:rsid w:val="00936FBB"/>
    <w:rsid w:val="009616E8"/>
    <w:rsid w:val="00987860"/>
    <w:rsid w:val="00990BFD"/>
    <w:rsid w:val="009949C5"/>
    <w:rsid w:val="009C5E23"/>
    <w:rsid w:val="009D62D7"/>
    <w:rsid w:val="009E15C2"/>
    <w:rsid w:val="00A0375B"/>
    <w:rsid w:val="00A05A5D"/>
    <w:rsid w:val="00A06980"/>
    <w:rsid w:val="00A119EF"/>
    <w:rsid w:val="00A14CB7"/>
    <w:rsid w:val="00A16BC5"/>
    <w:rsid w:val="00A33B33"/>
    <w:rsid w:val="00A37B1E"/>
    <w:rsid w:val="00A4052D"/>
    <w:rsid w:val="00A446E4"/>
    <w:rsid w:val="00A527D2"/>
    <w:rsid w:val="00A63F49"/>
    <w:rsid w:val="00A66BFC"/>
    <w:rsid w:val="00A81714"/>
    <w:rsid w:val="00A964DE"/>
    <w:rsid w:val="00A97397"/>
    <w:rsid w:val="00AB1708"/>
    <w:rsid w:val="00AC3072"/>
    <w:rsid w:val="00AF45A3"/>
    <w:rsid w:val="00AF71AA"/>
    <w:rsid w:val="00B0121D"/>
    <w:rsid w:val="00B04FA9"/>
    <w:rsid w:val="00B064BC"/>
    <w:rsid w:val="00B17EF7"/>
    <w:rsid w:val="00B349C5"/>
    <w:rsid w:val="00B44669"/>
    <w:rsid w:val="00B5112D"/>
    <w:rsid w:val="00B521A5"/>
    <w:rsid w:val="00B61A7A"/>
    <w:rsid w:val="00B651B0"/>
    <w:rsid w:val="00B67723"/>
    <w:rsid w:val="00B740B8"/>
    <w:rsid w:val="00BA75D9"/>
    <w:rsid w:val="00BB43C1"/>
    <w:rsid w:val="00BC36F5"/>
    <w:rsid w:val="00BD04AE"/>
    <w:rsid w:val="00BD5C29"/>
    <w:rsid w:val="00BD744A"/>
    <w:rsid w:val="00BE24C2"/>
    <w:rsid w:val="00BE4B78"/>
    <w:rsid w:val="00BF007F"/>
    <w:rsid w:val="00BF0360"/>
    <w:rsid w:val="00BF421D"/>
    <w:rsid w:val="00BF47D0"/>
    <w:rsid w:val="00C00461"/>
    <w:rsid w:val="00C16C3E"/>
    <w:rsid w:val="00C33A33"/>
    <w:rsid w:val="00C34479"/>
    <w:rsid w:val="00C46964"/>
    <w:rsid w:val="00C60413"/>
    <w:rsid w:val="00C63D55"/>
    <w:rsid w:val="00C756BD"/>
    <w:rsid w:val="00C858AD"/>
    <w:rsid w:val="00C85EF8"/>
    <w:rsid w:val="00CA40F9"/>
    <w:rsid w:val="00CC2E2C"/>
    <w:rsid w:val="00CC6CFB"/>
    <w:rsid w:val="00CD0D4B"/>
    <w:rsid w:val="00CD6513"/>
    <w:rsid w:val="00CE3700"/>
    <w:rsid w:val="00CE5938"/>
    <w:rsid w:val="00CE708E"/>
    <w:rsid w:val="00CE7E8A"/>
    <w:rsid w:val="00CF2058"/>
    <w:rsid w:val="00D02248"/>
    <w:rsid w:val="00D124E0"/>
    <w:rsid w:val="00D128BF"/>
    <w:rsid w:val="00D15EB7"/>
    <w:rsid w:val="00D22631"/>
    <w:rsid w:val="00D55CD5"/>
    <w:rsid w:val="00D65DEC"/>
    <w:rsid w:val="00D7137B"/>
    <w:rsid w:val="00D73BEB"/>
    <w:rsid w:val="00D82DCF"/>
    <w:rsid w:val="00D84740"/>
    <w:rsid w:val="00D867E6"/>
    <w:rsid w:val="00D978B5"/>
    <w:rsid w:val="00DA01E3"/>
    <w:rsid w:val="00DA1E98"/>
    <w:rsid w:val="00DC1850"/>
    <w:rsid w:val="00DC5383"/>
    <w:rsid w:val="00DD2B52"/>
    <w:rsid w:val="00DD3641"/>
    <w:rsid w:val="00DD7938"/>
    <w:rsid w:val="00E0024F"/>
    <w:rsid w:val="00E04194"/>
    <w:rsid w:val="00E06AFD"/>
    <w:rsid w:val="00E1206D"/>
    <w:rsid w:val="00E1682F"/>
    <w:rsid w:val="00E26E81"/>
    <w:rsid w:val="00E31A2C"/>
    <w:rsid w:val="00E40495"/>
    <w:rsid w:val="00E44DF3"/>
    <w:rsid w:val="00E47368"/>
    <w:rsid w:val="00E50131"/>
    <w:rsid w:val="00E52F5A"/>
    <w:rsid w:val="00E56D39"/>
    <w:rsid w:val="00E62780"/>
    <w:rsid w:val="00E70CE2"/>
    <w:rsid w:val="00E830BF"/>
    <w:rsid w:val="00E86BC2"/>
    <w:rsid w:val="00E86ED3"/>
    <w:rsid w:val="00E90B97"/>
    <w:rsid w:val="00E92D13"/>
    <w:rsid w:val="00EA2364"/>
    <w:rsid w:val="00EA7B4E"/>
    <w:rsid w:val="00EB7D0B"/>
    <w:rsid w:val="00EC4213"/>
    <w:rsid w:val="00EC4278"/>
    <w:rsid w:val="00EC5A32"/>
    <w:rsid w:val="00EC689D"/>
    <w:rsid w:val="00ED4030"/>
    <w:rsid w:val="00ED55FE"/>
    <w:rsid w:val="00EF2C36"/>
    <w:rsid w:val="00F2185C"/>
    <w:rsid w:val="00F21E58"/>
    <w:rsid w:val="00F36B2C"/>
    <w:rsid w:val="00F4028C"/>
    <w:rsid w:val="00F6573A"/>
    <w:rsid w:val="00F67466"/>
    <w:rsid w:val="00F8775B"/>
    <w:rsid w:val="00FA5F89"/>
    <w:rsid w:val="00FB125B"/>
    <w:rsid w:val="00FB2FE4"/>
    <w:rsid w:val="00FC630D"/>
    <w:rsid w:val="00FC67F8"/>
    <w:rsid w:val="00FC7BEC"/>
    <w:rsid w:val="00FD757D"/>
    <w:rsid w:val="00FF0D02"/>
    <w:rsid w:val="04660DEA"/>
    <w:rsid w:val="0DD327EE"/>
    <w:rsid w:val="366E34B0"/>
    <w:rsid w:val="47952475"/>
    <w:rsid w:val="514401E6"/>
    <w:rsid w:val="6950512A"/>
    <w:rsid w:val="6EA74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qFormat/>
    <w:uiPriority w:val="99"/>
    <w:rPr>
      <w:rFonts w:ascii="仿宋_GB2312" w:hAnsi="Times New Roman" w:eastAsia="仿宋_GB2312" w:cs="Times New Roman"/>
      <w:sz w:val="18"/>
      <w:szCs w:val="18"/>
    </w:rPr>
  </w:style>
  <w:style w:type="character" w:customStyle="1" w:styleId="8">
    <w:name w:val="页脚 Char"/>
    <w:basedOn w:val="5"/>
    <w:link w:val="2"/>
    <w:qFormat/>
    <w:uiPriority w:val="99"/>
    <w:rPr>
      <w:rFonts w:ascii="仿宋_GB2312" w:hAnsi="Times New Roman" w:eastAsia="仿宋_GB2312" w:cs="Times New Roman"/>
      <w:sz w:val="18"/>
      <w:szCs w:val="18"/>
    </w:rPr>
  </w:style>
  <w:style w:type="character" w:customStyle="1" w:styleId="9">
    <w:name w:val="font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171</Words>
  <Characters>979</Characters>
  <Lines>8</Lines>
  <Paragraphs>2</Paragraphs>
  <TotalTime>5</TotalTime>
  <ScaleCrop>false</ScaleCrop>
  <LinksUpToDate>false</LinksUpToDate>
  <CharactersWithSpaces>1148</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2019-06-05T02:31:00Z</dcterms:created>
  <dc:creator>蒋耀辉</dc:creator>
  <cp:lastModifiedBy>蒋耀辉</cp:lastModifiedBy>
  <dcterms:modified xsi:type="dcterms:W3CDTF">2021-06-29T00:54:59Z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