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484" w:firstLineChars="101"/>
        <w:jc w:val="center"/>
        <w:rPr>
          <w:rFonts w:ascii="黑体" w:hAnsi="黑体" w:eastAsia="黑体" w:cs="Times New Roman"/>
          <w:bCs/>
          <w:spacing w:val="-20"/>
          <w:sz w:val="52"/>
          <w:szCs w:val="52"/>
        </w:rPr>
      </w:pPr>
      <w:r>
        <w:rPr>
          <w:rFonts w:hint="eastAsia" w:ascii="黑体" w:hAnsi="黑体" w:eastAsia="黑体" w:cs="Times New Roman"/>
          <w:bCs/>
          <w:spacing w:val="-20"/>
          <w:sz w:val="52"/>
          <w:szCs w:val="52"/>
        </w:rPr>
        <w:t>国家级一流本科专业建设点</w:t>
      </w:r>
    </w:p>
    <w:p>
      <w:pPr>
        <w:ind w:left="-359" w:leftChars="-171" w:firstLine="525" w:firstLineChars="101"/>
        <w:jc w:val="center"/>
        <w:rPr>
          <w:rFonts w:ascii="黑体" w:hAnsi="黑体" w:eastAsia="黑体" w:cs="Times New Roman"/>
          <w:bCs/>
          <w:sz w:val="52"/>
          <w:szCs w:val="52"/>
        </w:rPr>
      </w:pPr>
      <w:r>
        <w:rPr>
          <w:rFonts w:hint="eastAsia" w:ascii="黑体" w:hAnsi="黑体" w:eastAsia="黑体" w:cs="Times New Roman"/>
          <w:bCs/>
          <w:sz w:val="52"/>
          <w:szCs w:val="52"/>
        </w:rPr>
        <w:t>信息采集表</w:t>
      </w: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ind w:firstLine="1440" w:firstLineChars="400"/>
        <w:rPr>
          <w:rFonts w:hint="default" w:ascii="Times New Roman" w:hAnsi="Times New Roman" w:eastAsia="楷体_GB2312" w:cs="Times New Roman"/>
          <w:szCs w:val="24"/>
          <w:lang w:val="en-US" w:eastAsia="zh-CN"/>
        </w:rPr>
      </w:pPr>
      <w:r>
        <w:rPr>
          <w:rFonts w:hint="eastAsia" w:ascii="Arial" w:hAnsi="Arial" w:eastAsia="楷体_GB2312" w:cs="Times New Roman"/>
          <w:sz w:val="36"/>
          <w:szCs w:val="24"/>
        </w:rPr>
        <w:t>高校名称：</w:t>
      </w:r>
      <w:r>
        <w:rPr>
          <w:rFonts w:hint="eastAsia" w:ascii="Arial" w:hAnsi="Arial" w:eastAsia="楷体_GB2312" w:cs="Times New Roman"/>
          <w:sz w:val="36"/>
          <w:szCs w:val="24"/>
          <w:lang w:val="en-US" w:eastAsia="zh-CN"/>
        </w:rPr>
        <w:t>湖南科技大学</w:t>
      </w:r>
    </w:p>
    <w:p>
      <w:pPr>
        <w:spacing w:line="720" w:lineRule="exact"/>
        <w:ind w:firstLine="1440" w:firstLineChars="400"/>
        <w:rPr>
          <w:rFonts w:hint="default" w:ascii="Arial" w:hAnsi="Arial" w:eastAsia="楷体_GB2312" w:cs="Times New Roman"/>
          <w:sz w:val="36"/>
          <w:szCs w:val="24"/>
          <w:u w:val="single"/>
          <w:lang w:val="en-US" w:eastAsia="zh-CN"/>
        </w:rPr>
      </w:pPr>
      <w:r>
        <w:rPr>
          <w:rFonts w:hint="eastAsia" w:ascii="Arial" w:hAnsi="Arial" w:eastAsia="楷体_GB2312" w:cs="Times New Roman"/>
          <w:sz w:val="36"/>
          <w:szCs w:val="24"/>
        </w:rPr>
        <w:t>主管部门：</w:t>
      </w:r>
      <w:r>
        <w:rPr>
          <w:rFonts w:hint="eastAsia" w:ascii="Arial" w:hAnsi="Arial" w:eastAsia="楷体_GB2312" w:cs="Times New Roman"/>
          <w:sz w:val="36"/>
          <w:szCs w:val="24"/>
          <w:lang w:val="en-US" w:eastAsia="zh-CN"/>
        </w:rPr>
        <w:t>湖南省教育厅</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专业名称：</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专业代码：</w:t>
      </w:r>
    </w:p>
    <w:p>
      <w:pPr>
        <w:spacing w:line="720" w:lineRule="exact"/>
        <w:ind w:firstLine="1439" w:firstLineChars="371"/>
        <w:rPr>
          <w:rFonts w:ascii="Arial" w:hAnsi="Arial" w:eastAsia="楷体_GB2312" w:cs="Times New Roman"/>
          <w:spacing w:val="14"/>
          <w:sz w:val="36"/>
          <w:szCs w:val="24"/>
          <w:u w:val="single"/>
        </w:rPr>
      </w:pPr>
      <w:r>
        <w:rPr>
          <w:rFonts w:hint="eastAsia" w:ascii="Arial" w:hAnsi="Arial" w:eastAsia="楷体_GB2312" w:cs="Times New Roman"/>
          <w:spacing w:val="14"/>
          <w:sz w:val="36"/>
          <w:szCs w:val="24"/>
        </w:rPr>
        <w:t>专业类：</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专业负责人：</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联系电话：</w:t>
      </w:r>
    </w:p>
    <w:p>
      <w:pPr>
        <w:spacing w:line="720" w:lineRule="exact"/>
        <w:ind w:firstLine="1760" w:firstLineChars="400"/>
        <w:rPr>
          <w:rFonts w:ascii="Arial" w:hAnsi="Arial" w:eastAsia="楷体_GB2312" w:cs="Times New Roman"/>
          <w:sz w:val="44"/>
          <w:szCs w:val="24"/>
        </w:rPr>
      </w:pPr>
    </w:p>
    <w:p>
      <w:pPr>
        <w:rPr>
          <w:rFonts w:ascii="Times New Roman" w:hAnsi="Times New Roman" w:eastAsia="宋体" w:cs="Times New Roman"/>
          <w:szCs w:val="24"/>
        </w:rPr>
      </w:pPr>
    </w:p>
    <w:p>
      <w:pPr>
        <w:jc w:val="center"/>
        <w:rPr>
          <w:rFonts w:ascii="Arial" w:hAnsi="Arial" w:eastAsia="楷体_GB2312" w:cs="Times New Roman"/>
          <w:sz w:val="36"/>
          <w:szCs w:val="24"/>
        </w:rPr>
      </w:pPr>
      <w:r>
        <w:rPr>
          <w:rFonts w:hint="eastAsia" w:ascii="Arial" w:hAnsi="Arial" w:eastAsia="楷体_GB2312" w:cs="Times New Roman"/>
          <w:sz w:val="36"/>
          <w:szCs w:val="24"/>
        </w:rPr>
        <w:t>教育部高等教育司制</w:t>
      </w:r>
    </w:p>
    <w:p>
      <w:pPr>
        <w:jc w:val="center"/>
        <w:rPr>
          <w:rFonts w:ascii="Arial" w:hAnsi="Arial" w:eastAsia="楷体_GB2312" w:cs="Times New Roman"/>
          <w:sz w:val="36"/>
          <w:szCs w:val="24"/>
        </w:rPr>
      </w:pPr>
      <w:r>
        <w:rPr>
          <w:rFonts w:ascii="Arial" w:hAnsi="Arial" w:eastAsia="楷体_GB2312" w:cs="Times New Roman"/>
          <w:sz w:val="36"/>
          <w:szCs w:val="24"/>
        </w:rPr>
        <w:br w:type="page"/>
      </w:r>
    </w:p>
    <w:p>
      <w:pPr>
        <w:jc w:val="center"/>
        <w:rPr>
          <w:rFonts w:ascii="黑体" w:hAnsi="Arial" w:eastAsia="黑体" w:cs="Times New Roman"/>
          <w:bCs/>
          <w:spacing w:val="100"/>
          <w:sz w:val="36"/>
          <w:szCs w:val="36"/>
        </w:rPr>
      </w:pPr>
      <w:r>
        <w:rPr>
          <w:rFonts w:hint="eastAsia" w:ascii="黑体" w:hAnsi="Arial" w:eastAsia="黑体" w:cs="Times New Roman"/>
          <w:bCs/>
          <w:spacing w:val="100"/>
          <w:sz w:val="36"/>
          <w:szCs w:val="36"/>
        </w:rPr>
        <w:t>填表说明</w:t>
      </w:r>
    </w:p>
    <w:p>
      <w:pPr>
        <w:jc w:val="center"/>
        <w:rPr>
          <w:rFonts w:ascii="仿宋_GB2312" w:hAnsi="Arial" w:eastAsia="仿宋_GB2312" w:cs="Times New Roman"/>
          <w:spacing w:val="100"/>
          <w:sz w:val="32"/>
          <w:szCs w:val="32"/>
        </w:rPr>
      </w:pP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1.采集表填写内容必须实事求是，表达准确严谨。填报内容不得有空缺项，如无内容应填“无”。</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2.采集表须在</w:t>
      </w:r>
      <w:r>
        <w:rPr>
          <w:rFonts w:ascii="仿宋" w:hAnsi="仿宋" w:eastAsia="仿宋" w:cs="Times New Roman"/>
          <w:sz w:val="32"/>
          <w:szCs w:val="32"/>
        </w:rPr>
        <w:t>线填写</w:t>
      </w:r>
      <w:r>
        <w:rPr>
          <w:rFonts w:hint="eastAsia" w:ascii="仿宋" w:hAnsi="仿宋" w:eastAsia="仿宋" w:cs="Times New Roman"/>
          <w:sz w:val="32"/>
          <w:szCs w:val="32"/>
        </w:rPr>
        <w:t>。</w:t>
      </w:r>
    </w:p>
    <w:p>
      <w:pPr>
        <w:ind w:firstLine="640" w:firstLineChars="200"/>
        <w:rPr>
          <w:rFonts w:ascii="仿宋" w:hAnsi="仿宋" w:eastAsia="仿宋" w:cs="Times New Roman"/>
          <w:sz w:val="32"/>
          <w:szCs w:val="32"/>
        </w:rPr>
      </w:pPr>
      <w:r>
        <w:rPr>
          <w:rFonts w:hint="eastAsia" w:ascii="仿宋" w:hAnsi="仿宋" w:eastAsia="仿宋" w:cs="Times New Roman"/>
          <w:sz w:val="32"/>
          <w:szCs w:val="32"/>
          <w:lang w:val="en-US" w:eastAsia="zh-CN"/>
        </w:rPr>
        <w:t>3</w:t>
      </w:r>
      <w:r>
        <w:rPr>
          <w:rFonts w:ascii="仿宋" w:hAnsi="仿宋" w:eastAsia="仿宋" w:cs="Times New Roman"/>
          <w:sz w:val="32"/>
          <w:szCs w:val="32"/>
        </w:rPr>
        <w:t>.报送</w:t>
      </w:r>
      <w:r>
        <w:rPr>
          <w:rFonts w:hint="eastAsia" w:ascii="仿宋" w:hAnsi="仿宋" w:eastAsia="仿宋" w:cs="Times New Roman"/>
          <w:sz w:val="32"/>
          <w:szCs w:val="32"/>
        </w:rPr>
        <w:t>单位</w:t>
      </w:r>
      <w:r>
        <w:rPr>
          <w:rFonts w:ascii="仿宋" w:hAnsi="仿宋" w:eastAsia="仿宋" w:cs="Times New Roman"/>
          <w:sz w:val="32"/>
          <w:szCs w:val="32"/>
        </w:rPr>
        <w:t>在线</w:t>
      </w:r>
      <w:r>
        <w:rPr>
          <w:rFonts w:hint="eastAsia" w:ascii="仿宋" w:hAnsi="仿宋" w:eastAsia="仿宋" w:cs="Times New Roman"/>
          <w:sz w:val="32"/>
          <w:szCs w:val="32"/>
        </w:rPr>
        <w:t>填报</w:t>
      </w:r>
      <w:r>
        <w:rPr>
          <w:rFonts w:ascii="仿宋" w:hAnsi="仿宋" w:eastAsia="仿宋" w:cs="Times New Roman"/>
          <w:sz w:val="32"/>
          <w:szCs w:val="32"/>
        </w:rPr>
        <w:t>结束后</w:t>
      </w:r>
      <w:r>
        <w:rPr>
          <w:rFonts w:hint="eastAsia" w:ascii="仿宋" w:hAnsi="仿宋" w:eastAsia="仿宋" w:cs="Times New Roman"/>
          <w:sz w:val="32"/>
          <w:szCs w:val="32"/>
        </w:rPr>
        <w:t>，</w:t>
      </w:r>
      <w:r>
        <w:rPr>
          <w:rFonts w:ascii="仿宋" w:hAnsi="仿宋" w:eastAsia="仿宋" w:cs="Times New Roman"/>
          <w:sz w:val="32"/>
          <w:szCs w:val="32"/>
        </w:rPr>
        <w:t>导出</w:t>
      </w:r>
      <w:r>
        <w:rPr>
          <w:rFonts w:hint="eastAsia" w:ascii="仿宋" w:hAnsi="仿宋" w:eastAsia="仿宋" w:cs="Times New Roman"/>
          <w:sz w:val="32"/>
          <w:szCs w:val="32"/>
        </w:rPr>
        <w:t>《国</w:t>
      </w:r>
      <w:r>
        <w:rPr>
          <w:rFonts w:ascii="仿宋" w:hAnsi="仿宋" w:eastAsia="仿宋" w:cs="Times New Roman"/>
          <w:sz w:val="32"/>
          <w:szCs w:val="32"/>
        </w:rPr>
        <w:t>家级</w:t>
      </w:r>
      <w:r>
        <w:rPr>
          <w:rFonts w:hint="eastAsia" w:ascii="仿宋" w:hAnsi="仿宋" w:eastAsia="仿宋" w:cs="Times New Roman"/>
          <w:sz w:val="32"/>
          <w:szCs w:val="32"/>
        </w:rPr>
        <w:t>一</w:t>
      </w:r>
      <w:r>
        <w:rPr>
          <w:rFonts w:ascii="仿宋" w:hAnsi="仿宋" w:eastAsia="仿宋" w:cs="Times New Roman"/>
          <w:sz w:val="32"/>
          <w:szCs w:val="32"/>
        </w:rPr>
        <w:t>流本科专业建设点汇总表》</w:t>
      </w:r>
      <w:r>
        <w:rPr>
          <w:rFonts w:hint="eastAsia" w:ascii="仿宋" w:hAnsi="仿宋" w:eastAsia="仿宋" w:cs="Times New Roman"/>
          <w:sz w:val="32"/>
          <w:szCs w:val="32"/>
        </w:rPr>
        <w:t>，</w:t>
      </w:r>
      <w:r>
        <w:rPr>
          <w:rFonts w:ascii="仿宋" w:hAnsi="仿宋" w:eastAsia="仿宋" w:cs="Times New Roman"/>
          <w:sz w:val="32"/>
          <w:szCs w:val="32"/>
        </w:rPr>
        <w:t>加</w:t>
      </w:r>
      <w:r>
        <w:rPr>
          <w:rFonts w:hint="eastAsia" w:ascii="仿宋" w:hAnsi="仿宋" w:eastAsia="仿宋" w:cs="Times New Roman"/>
          <w:sz w:val="32"/>
          <w:szCs w:val="32"/>
        </w:rPr>
        <w:t>盖</w:t>
      </w:r>
      <w:r>
        <w:rPr>
          <w:rFonts w:ascii="仿宋" w:hAnsi="仿宋" w:eastAsia="仿宋" w:cs="Times New Roman"/>
          <w:sz w:val="32"/>
          <w:szCs w:val="32"/>
        </w:rPr>
        <w:t>公章后，</w:t>
      </w:r>
      <w:r>
        <w:rPr>
          <w:rFonts w:hint="eastAsia" w:ascii="仿宋" w:hAnsi="仿宋" w:eastAsia="仿宋" w:cs="Times New Roman"/>
          <w:sz w:val="32"/>
          <w:szCs w:val="32"/>
          <w:lang w:val="en-US" w:eastAsia="zh-CN"/>
        </w:rPr>
        <w:t>扫描上传到报送系统</w:t>
      </w:r>
      <w:r>
        <w:rPr>
          <w:rFonts w:hint="eastAsia" w:ascii="仿宋" w:hAnsi="仿宋" w:eastAsia="仿宋" w:cs="Times New Roman"/>
          <w:sz w:val="32"/>
          <w:szCs w:val="32"/>
        </w:rPr>
        <w:t>。</w:t>
      </w:r>
    </w:p>
    <w:p>
      <w:pPr>
        <w:ind w:firstLine="640" w:firstLineChars="200"/>
        <w:rPr>
          <w:rFonts w:ascii="仿宋" w:hAnsi="仿宋" w:eastAsia="仿宋" w:cs="Times New Roman"/>
          <w:sz w:val="32"/>
          <w:szCs w:val="32"/>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spacing w:line="440" w:lineRule="exact"/>
        <w:rPr>
          <w:rFonts w:ascii="Arial" w:hAnsi="Arial" w:eastAsia="楷体_GB2312" w:cs="Times New Roman"/>
          <w:sz w:val="36"/>
          <w:szCs w:val="24"/>
        </w:rPr>
      </w:pPr>
      <w:r>
        <w:rPr>
          <w:rFonts w:ascii="宋体" w:hAnsi="宋体" w:eastAsia="宋体" w:cs="宋体"/>
          <w:sz w:val="30"/>
          <w:szCs w:val="30"/>
        </w:rPr>
        <w:br w:type="page"/>
      </w:r>
    </w:p>
    <w:p>
      <w:pPr>
        <w:spacing w:line="440" w:lineRule="exact"/>
        <w:jc w:val="center"/>
        <w:rPr>
          <w:rFonts w:ascii="黑体" w:hAnsi="Times New Roman" w:eastAsia="黑体" w:cs="Times New Roman"/>
          <w:bCs/>
          <w:sz w:val="36"/>
          <w:szCs w:val="36"/>
        </w:rPr>
      </w:pPr>
    </w:p>
    <w:p>
      <w:pPr>
        <w:spacing w:line="440" w:lineRule="exact"/>
        <w:jc w:val="center"/>
        <w:rPr>
          <w:rFonts w:ascii="方正小标宋简体" w:hAnsi="Times New Roman" w:eastAsia="方正小标宋简体" w:cs="Times New Roman"/>
          <w:bCs/>
          <w:sz w:val="36"/>
          <w:szCs w:val="36"/>
        </w:rPr>
      </w:pPr>
      <w:r>
        <w:rPr>
          <w:rFonts w:hint="eastAsia" w:ascii="方正小标宋简体" w:hAnsi="Times New Roman" w:eastAsia="方正小标宋简体" w:cs="Times New Roman"/>
          <w:bCs/>
          <w:sz w:val="36"/>
          <w:szCs w:val="36"/>
        </w:rPr>
        <w:t>目    录</w:t>
      </w:r>
    </w:p>
    <w:p>
      <w:pPr>
        <w:spacing w:line="360" w:lineRule="auto"/>
        <w:rPr>
          <w:rFonts w:hint="eastAsia" w:ascii="黑体" w:hAnsi="黑体" w:eastAsia="黑体" w:cs="黑体"/>
          <w:b/>
          <w:bCs/>
          <w:sz w:val="32"/>
          <w:szCs w:val="24"/>
        </w:rPr>
      </w:pPr>
    </w:p>
    <w:p>
      <w:pPr>
        <w:spacing w:line="360" w:lineRule="auto"/>
        <w:rPr>
          <w:rFonts w:hint="eastAsia" w:ascii="黑体" w:hAnsi="黑体" w:eastAsia="黑体" w:cs="黑体"/>
          <w:b/>
          <w:bCs/>
          <w:sz w:val="32"/>
          <w:szCs w:val="32"/>
        </w:rPr>
      </w:pPr>
      <w:r>
        <w:rPr>
          <w:rFonts w:hint="eastAsia" w:ascii="黑体" w:hAnsi="黑体" w:eastAsia="黑体" w:cs="黑体"/>
          <w:b/>
          <w:bCs/>
          <w:sz w:val="32"/>
          <w:szCs w:val="32"/>
        </w:rPr>
        <w:t>一、所在高校基本情况</w:t>
      </w:r>
    </w:p>
    <w:p>
      <w:pPr>
        <w:spacing w:line="360" w:lineRule="auto"/>
        <w:rPr>
          <w:rFonts w:hint="eastAsia" w:ascii="黑体" w:hAnsi="黑体" w:eastAsia="黑体" w:cs="黑体"/>
          <w:b/>
          <w:bCs/>
          <w:sz w:val="32"/>
          <w:szCs w:val="24"/>
        </w:rPr>
      </w:pPr>
      <w:r>
        <w:rPr>
          <w:rFonts w:hint="eastAsia" w:ascii="黑体" w:hAnsi="黑体" w:eastAsia="黑体" w:cs="黑体"/>
          <w:b/>
          <w:bCs/>
          <w:sz w:val="32"/>
          <w:szCs w:val="24"/>
        </w:rPr>
        <w:t>二、报送专业情况</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1.专业基本情况</w:t>
      </w:r>
    </w:p>
    <w:p>
      <w:pPr>
        <w:spacing w:line="360" w:lineRule="auto"/>
        <w:ind w:firstLine="640" w:firstLineChars="200"/>
        <w:rPr>
          <w:rFonts w:ascii="仿宋_GB2312" w:hAnsi="仿宋" w:eastAsia="仿宋_GB2312" w:cs="Times New Roman"/>
          <w:bCs/>
          <w:spacing w:val="20"/>
          <w:sz w:val="32"/>
          <w:szCs w:val="32"/>
        </w:rPr>
      </w:pPr>
      <w:r>
        <w:rPr>
          <w:rFonts w:hint="eastAsia" w:ascii="仿宋_GB2312" w:hAnsi="仿宋" w:eastAsia="仿宋_GB2312" w:cs="Times New Roman"/>
          <w:sz w:val="32"/>
          <w:szCs w:val="32"/>
        </w:rPr>
        <w:t>2</w:t>
      </w:r>
      <w:r>
        <w:rPr>
          <w:rFonts w:hint="eastAsia" w:ascii="仿宋_GB2312" w:hAnsi="仿宋" w:eastAsia="仿宋_GB2312" w:cs="Times New Roman"/>
          <w:bCs/>
          <w:sz w:val="32"/>
          <w:szCs w:val="32"/>
        </w:rPr>
        <w:t>.专业负责人基本情况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3.近3年本专业毕业生就业（升学）情况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4.近3年本专业获省部级及以上奖励和支持情况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5.专业定位、历史沿革和特色优势</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6.深化专业综合改革的主要措施和成效</w:t>
      </w:r>
    </w:p>
    <w:p>
      <w:pPr>
        <w:spacing w:line="360" w:lineRule="auto"/>
        <w:ind w:firstLine="640" w:firstLineChars="200"/>
        <w:rPr>
          <w:rFonts w:ascii="仿宋_GB2312" w:hAnsi="仿宋" w:eastAsia="仿宋_GB2312" w:cs="Times New Roman"/>
          <w:bCs/>
          <w:kern w:val="0"/>
          <w:sz w:val="32"/>
          <w:szCs w:val="32"/>
        </w:rPr>
      </w:pPr>
      <w:r>
        <w:rPr>
          <w:rFonts w:hint="eastAsia" w:ascii="仿宋_GB2312" w:hAnsi="仿宋" w:eastAsia="仿宋_GB2312" w:cs="Times New Roman"/>
          <w:bCs/>
          <w:kern w:val="0"/>
          <w:sz w:val="32"/>
          <w:szCs w:val="32"/>
        </w:rPr>
        <w:t>7.加强师资队伍和基层教学组织建设的主要举措</w:t>
      </w:r>
      <w:r>
        <w:rPr>
          <w:rFonts w:ascii="仿宋_GB2312" w:hAnsi="仿宋" w:eastAsia="仿宋_GB2312" w:cs="Times New Roman"/>
          <w:bCs/>
          <w:kern w:val="0"/>
          <w:sz w:val="32"/>
          <w:szCs w:val="32"/>
        </w:rPr>
        <w:t>及</w:t>
      </w:r>
      <w:r>
        <w:rPr>
          <w:rFonts w:hint="eastAsia" w:ascii="仿宋_GB2312" w:hAnsi="仿宋" w:eastAsia="仿宋_GB2312" w:cs="Times New Roman"/>
          <w:bCs/>
          <w:kern w:val="0"/>
          <w:sz w:val="32"/>
          <w:szCs w:val="32"/>
        </w:rPr>
        <w:t>成效</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kern w:val="0"/>
          <w:sz w:val="32"/>
          <w:szCs w:val="32"/>
        </w:rPr>
        <w:t>8.加强专业教学质量保障体系建设的主要举措和成效</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9.毕业生培养质量的跟踪调查结果和外部评价</w:t>
      </w:r>
    </w:p>
    <w:p>
      <w:pPr>
        <w:spacing w:line="360" w:lineRule="auto"/>
        <w:rPr>
          <w:rFonts w:hint="eastAsia" w:ascii="黑体" w:hAnsi="黑体" w:eastAsia="黑体" w:cs="黑体"/>
          <w:b/>
          <w:bCs/>
          <w:sz w:val="32"/>
          <w:szCs w:val="24"/>
        </w:rPr>
      </w:pPr>
      <w:r>
        <w:rPr>
          <w:rFonts w:hint="eastAsia" w:ascii="黑体" w:hAnsi="黑体" w:eastAsia="黑体" w:cs="黑体"/>
          <w:b/>
          <w:bCs/>
          <w:sz w:val="32"/>
          <w:szCs w:val="24"/>
        </w:rPr>
        <w:t>三、下一步推进专业建设和改革的主要思路及举措</w:t>
      </w:r>
    </w:p>
    <w:p>
      <w:pPr>
        <w:spacing w:line="360" w:lineRule="auto"/>
        <w:rPr>
          <w:rFonts w:hint="default" w:ascii="黑体" w:hAnsi="黑体" w:eastAsia="黑体" w:cs="黑体"/>
          <w:b/>
          <w:bCs/>
          <w:sz w:val="32"/>
          <w:szCs w:val="24"/>
          <w:lang w:val="en-US" w:eastAsia="zh-CN"/>
        </w:rPr>
      </w:pPr>
      <w:r>
        <w:rPr>
          <w:rFonts w:hint="eastAsia" w:ascii="黑体" w:hAnsi="黑体" w:eastAsia="黑体" w:cs="黑体"/>
          <w:b/>
          <w:bCs/>
          <w:sz w:val="32"/>
          <w:szCs w:val="24"/>
          <w:lang w:val="en-US" w:eastAsia="zh-CN"/>
        </w:rPr>
        <w:t>四、本专业人才培养方案</w:t>
      </w:r>
    </w:p>
    <w:p>
      <w:pPr>
        <w:rPr>
          <w:rFonts w:ascii="黑体" w:hAnsi="黑体" w:eastAsia="黑体" w:cs="Times New Roman"/>
          <w:sz w:val="32"/>
          <w:szCs w:val="32"/>
        </w:rPr>
      </w:pPr>
      <w:r>
        <w:rPr>
          <w:rFonts w:hint="eastAsia" w:ascii="仿宋_GB2312" w:hAnsi="黑体" w:eastAsia="仿宋_GB2312" w:cs="Times New Roman"/>
          <w:bCs/>
          <w:sz w:val="36"/>
          <w:szCs w:val="36"/>
        </w:rPr>
        <w:br w:type="page"/>
      </w:r>
      <w:r>
        <w:rPr>
          <w:rFonts w:hint="eastAsia" w:ascii="黑体" w:hAnsi="黑体" w:eastAsia="黑体" w:cs="Times New Roman"/>
          <w:sz w:val="32"/>
          <w:szCs w:val="32"/>
        </w:rPr>
        <w:t>一、所在高校基本情况</w:t>
      </w:r>
    </w:p>
    <w:tbl>
      <w:tblPr>
        <w:tblStyle w:val="5"/>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3"/>
        <w:gridCol w:w="708"/>
        <w:gridCol w:w="873"/>
        <w:gridCol w:w="3154"/>
        <w:gridCol w:w="375"/>
        <w:gridCol w:w="115"/>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学校名称</w:t>
            </w:r>
          </w:p>
        </w:tc>
        <w:tc>
          <w:tcPr>
            <w:tcW w:w="1581" w:type="dxa"/>
            <w:gridSpan w:val="2"/>
            <w:vAlign w:val="center"/>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cs="Times New Roman"/>
                <w:szCs w:val="21"/>
                <w:lang w:val="en-US" w:eastAsia="zh-CN"/>
              </w:rPr>
              <w:t>湖南科技大学</w:t>
            </w:r>
          </w:p>
        </w:tc>
        <w:tc>
          <w:tcPr>
            <w:tcW w:w="3154" w:type="dxa"/>
            <w:vAlign w:val="center"/>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学校代码</w:t>
            </w:r>
          </w:p>
        </w:tc>
        <w:tc>
          <w:tcPr>
            <w:tcW w:w="1651" w:type="dxa"/>
            <w:gridSpan w:val="3"/>
            <w:vAlign w:val="center"/>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cs="Times New Roman"/>
                <w:szCs w:val="21"/>
                <w:lang w:val="en-US" w:eastAsia="zh-CN"/>
              </w:rPr>
              <w:t>10534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Merge w:val="restart"/>
            <w:vAlign w:val="center"/>
          </w:tcPr>
          <w:p>
            <w:pPr>
              <w:ind w:left="-105" w:leftChars="-50" w:right="-105" w:rightChars="-5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学校办学</w:t>
            </w:r>
          </w:p>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基本类型</w:t>
            </w:r>
          </w:p>
        </w:tc>
        <w:tc>
          <w:tcPr>
            <w:tcW w:w="6386" w:type="dxa"/>
            <w:gridSpan w:val="6"/>
          </w:tcPr>
          <w:p>
            <w:pPr>
              <w:spacing w:line="36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□部委院校  </w:t>
            </w:r>
            <w:r>
              <w:rPr>
                <w:rFonts w:hint="default" w:ascii="Times New Roman" w:hAnsi="Times New Roman" w:eastAsia="仿宋_GB2312" w:cs="Times New Roman"/>
                <w:sz w:val="24"/>
                <w:szCs w:val="24"/>
              </w:rPr>
              <w:sym w:font="Wingdings 2" w:char="0052"/>
            </w:r>
            <w:r>
              <w:rPr>
                <w:rFonts w:hint="default" w:ascii="Times New Roman" w:hAnsi="Times New Roman" w:eastAsia="仿宋_GB2312" w:cs="Times New Roman"/>
                <w:sz w:val="24"/>
                <w:szCs w:val="24"/>
              </w:rPr>
              <w:t>地方院校 □部省合建高校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Merge w:val="continue"/>
          </w:tcPr>
          <w:p>
            <w:pPr>
              <w:spacing w:line="360" w:lineRule="auto"/>
              <w:rPr>
                <w:rFonts w:hint="default" w:ascii="Times New Roman" w:hAnsi="Times New Roman" w:eastAsia="仿宋_GB2312" w:cs="Times New Roman"/>
                <w:sz w:val="24"/>
                <w:szCs w:val="24"/>
              </w:rPr>
            </w:pPr>
          </w:p>
        </w:tc>
        <w:tc>
          <w:tcPr>
            <w:tcW w:w="6386" w:type="dxa"/>
            <w:gridSpan w:val="6"/>
          </w:tcPr>
          <w:p>
            <w:pPr>
              <w:spacing w:line="36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sym w:font="Wingdings 2" w:char="0052"/>
            </w:r>
            <w:r>
              <w:rPr>
                <w:rFonts w:hint="default" w:ascii="Times New Roman" w:hAnsi="Times New Roman" w:eastAsia="仿宋_GB2312" w:cs="Times New Roman"/>
                <w:sz w:val="24"/>
                <w:szCs w:val="24"/>
              </w:rPr>
              <w:t>公办  □民办  □中外合作办学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在校本科生总数</w:t>
            </w:r>
          </w:p>
        </w:tc>
        <w:tc>
          <w:tcPr>
            <w:tcW w:w="1581" w:type="dxa"/>
            <w:gridSpan w:val="2"/>
            <w:vAlign w:val="center"/>
          </w:tcPr>
          <w:p>
            <w:pPr>
              <w:spacing w:line="360" w:lineRule="auto"/>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28415</w:t>
            </w:r>
            <w:r>
              <w:rPr>
                <w:rFonts w:hint="default" w:ascii="Times New Roman" w:hAnsi="Times New Roman" w:eastAsia="仿宋_GB2312" w:cs="Times New Roman"/>
                <w:sz w:val="24"/>
                <w:szCs w:val="24"/>
              </w:rPr>
              <w:t>人</w:t>
            </w:r>
          </w:p>
        </w:tc>
        <w:tc>
          <w:tcPr>
            <w:tcW w:w="3644" w:type="dxa"/>
            <w:gridSpan w:val="3"/>
            <w:vAlign w:val="center"/>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近3年年均本科招生数</w:t>
            </w:r>
          </w:p>
        </w:tc>
        <w:tc>
          <w:tcPr>
            <w:tcW w:w="1161" w:type="dxa"/>
            <w:vAlign w:val="center"/>
          </w:tcPr>
          <w:p>
            <w:pPr>
              <w:spacing w:line="360" w:lineRule="auto"/>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7236</w:t>
            </w:r>
            <w:r>
              <w:rPr>
                <w:rFonts w:hint="default" w:ascii="Times New Roman" w:hAnsi="Times New Roman" w:eastAsia="仿宋_GB2312" w:cs="Times New Roman"/>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ind w:left="-105" w:leftChars="-50" w:right="-105" w:rightChars="-5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专任教师总数</w:t>
            </w:r>
          </w:p>
        </w:tc>
        <w:tc>
          <w:tcPr>
            <w:tcW w:w="1581" w:type="dxa"/>
            <w:gridSpan w:val="2"/>
            <w:vAlign w:val="center"/>
          </w:tcPr>
          <w:p>
            <w:pPr>
              <w:spacing w:line="320" w:lineRule="exact"/>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1626</w:t>
            </w:r>
            <w:r>
              <w:rPr>
                <w:rFonts w:hint="default" w:ascii="Times New Roman" w:hAnsi="Times New Roman" w:eastAsia="仿宋_GB2312" w:cs="Times New Roman"/>
                <w:sz w:val="24"/>
                <w:szCs w:val="24"/>
              </w:rPr>
              <w:t>人</w:t>
            </w:r>
          </w:p>
        </w:tc>
        <w:tc>
          <w:tcPr>
            <w:tcW w:w="3644" w:type="dxa"/>
            <w:gridSpan w:val="3"/>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专任教师中副教授及以上职称比例</w:t>
            </w:r>
          </w:p>
        </w:tc>
        <w:tc>
          <w:tcPr>
            <w:tcW w:w="1161" w:type="dxa"/>
            <w:vAlign w:val="center"/>
          </w:tcPr>
          <w:p>
            <w:pPr>
              <w:spacing w:line="360" w:lineRule="auto"/>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47.05</w:t>
            </w:r>
            <w:r>
              <w:rPr>
                <w:rFonts w:hint="default"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ind w:left="-105" w:leftChars="-50" w:right="-105" w:rightChars="-5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生师比</w:t>
            </w:r>
          </w:p>
        </w:tc>
        <w:tc>
          <w:tcPr>
            <w:tcW w:w="1581" w:type="dxa"/>
            <w:gridSpan w:val="2"/>
            <w:vAlign w:val="center"/>
          </w:tcPr>
          <w:p>
            <w:pPr>
              <w:spacing w:line="32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17</w:t>
            </w:r>
          </w:p>
        </w:tc>
        <w:tc>
          <w:tcPr>
            <w:tcW w:w="3644" w:type="dxa"/>
            <w:gridSpan w:val="3"/>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具有硕博士学位教师占专任教师比例</w:t>
            </w:r>
          </w:p>
        </w:tc>
        <w:tc>
          <w:tcPr>
            <w:tcW w:w="1161" w:type="dxa"/>
            <w:vAlign w:val="center"/>
          </w:tcPr>
          <w:p>
            <w:pPr>
              <w:spacing w:line="360" w:lineRule="auto"/>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92.00</w:t>
            </w:r>
            <w:r>
              <w:rPr>
                <w:rFonts w:hint="default"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1" w:hRule="atLeast"/>
        </w:trPr>
        <w:tc>
          <w:tcPr>
            <w:tcW w:w="1973" w:type="dxa"/>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推进高水平本科建设整体情况</w:t>
            </w:r>
          </w:p>
        </w:tc>
        <w:tc>
          <w:tcPr>
            <w:tcW w:w="6386" w:type="dxa"/>
            <w:gridSpan w:val="6"/>
          </w:tcPr>
          <w:p>
            <w:pPr>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（落实“以本为本、四个回归”、推进“四新”建设、完善协同育人和实践教学机制、培育以人才培养为中心的质量文化等</w:t>
            </w:r>
            <w:r>
              <w:rPr>
                <w:rFonts w:hint="default" w:ascii="Times New Roman" w:hAnsi="Times New Roman" w:eastAsia="仿宋_GB2312" w:cs="Times New Roman"/>
                <w:sz w:val="24"/>
                <w:szCs w:val="24"/>
              </w:rPr>
              <w:t>，1200字以内</w:t>
            </w:r>
            <w:r>
              <w:rPr>
                <w:rFonts w:hint="default" w:ascii="Times New Roman" w:hAnsi="Times New Roman" w:eastAsia="仿宋" w:cs="Times New Roman"/>
                <w:sz w:val="24"/>
                <w:szCs w:val="24"/>
              </w:rPr>
              <w:t>）</w:t>
            </w:r>
          </w:p>
          <w:p>
            <w:pPr>
              <w:keepNext w:val="0"/>
              <w:keepLines w:val="0"/>
              <w:pageBreakBefore w:val="0"/>
              <w:widowControl/>
              <w:shd w:val="clear" w:color="auto" w:fill="FFFFFF"/>
              <w:kinsoku/>
              <w:wordWrap/>
              <w:autoSpaceDE/>
              <w:autoSpaceDN/>
              <w:bidi w:val="0"/>
              <w:adjustRightInd/>
              <w:snapToGrid/>
              <w:spacing w:line="360" w:lineRule="auto"/>
              <w:ind w:firstLine="480" w:firstLineChars="200"/>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全校共9</w:t>
            </w:r>
            <w:r>
              <w:rPr>
                <w:rFonts w:hint="default" w:ascii="Times New Roman" w:hAnsi="Times New Roman" w:eastAsia="仿宋_GB2312" w:cs="Times New Roman"/>
                <w:color w:val="000000"/>
                <w:kern w:val="0"/>
                <w:sz w:val="24"/>
                <w:szCs w:val="24"/>
                <w:lang w:val="en-US" w:eastAsia="zh-CN"/>
              </w:rPr>
              <w:t>4</w:t>
            </w:r>
            <w:r>
              <w:rPr>
                <w:rFonts w:hint="default" w:ascii="Times New Roman" w:hAnsi="Times New Roman" w:eastAsia="仿宋_GB2312" w:cs="Times New Roman"/>
                <w:color w:val="000000"/>
                <w:kern w:val="0"/>
                <w:sz w:val="24"/>
                <w:szCs w:val="24"/>
              </w:rPr>
              <w:t>个</w:t>
            </w:r>
            <w:r>
              <w:rPr>
                <w:rFonts w:hint="default" w:ascii="Times New Roman" w:hAnsi="Times New Roman" w:eastAsia="仿宋_GB2312" w:cs="Times New Roman"/>
                <w:color w:val="000000"/>
                <w:kern w:val="0"/>
                <w:sz w:val="24"/>
                <w:szCs w:val="24"/>
                <w:lang w:val="en-US" w:eastAsia="zh-CN"/>
              </w:rPr>
              <w:t>本科</w:t>
            </w:r>
            <w:r>
              <w:rPr>
                <w:rFonts w:hint="default" w:ascii="Times New Roman" w:hAnsi="Times New Roman" w:eastAsia="仿宋_GB2312" w:cs="Times New Roman"/>
                <w:color w:val="000000"/>
                <w:kern w:val="0"/>
                <w:sz w:val="24"/>
                <w:szCs w:val="24"/>
              </w:rPr>
              <w:t>专业，覆盖11个学科门类</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lang w:val="en-US" w:eastAsia="zh-CN"/>
              </w:rPr>
              <w:t>拥</w:t>
            </w:r>
            <w:r>
              <w:rPr>
                <w:rFonts w:hint="default" w:ascii="Times New Roman" w:hAnsi="Times New Roman" w:eastAsia="仿宋_GB2312" w:cs="Times New Roman"/>
                <w:color w:val="000000"/>
                <w:kern w:val="0"/>
                <w:sz w:val="24"/>
                <w:szCs w:val="24"/>
              </w:rPr>
              <w:t>有3个卓越工程师教育计划专业、8个国家特色专业、17个省级特色专业、1个国家专业综合改革试点专业。</w:t>
            </w:r>
          </w:p>
          <w:p>
            <w:pPr>
              <w:pStyle w:val="2"/>
              <w:keepNext w:val="0"/>
              <w:keepLines w:val="0"/>
              <w:pageBreakBefore w:val="0"/>
              <w:shd w:val="clear" w:color="auto" w:fill="FFFFFF"/>
              <w:kinsoku/>
              <w:wordWrap/>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学校围绕落实全国全省教育大会、新时代全国高等学校本科教育工作会议精神，以立德树人为根本任务，秉承德智体美劳全面发展理念，不断推进高水平本科建设。</w:t>
            </w:r>
          </w:p>
          <w:p>
            <w:pPr>
              <w:pStyle w:val="9"/>
              <w:keepNext w:val="0"/>
              <w:keepLines w:val="0"/>
              <w:pageBreakBefore w:val="0"/>
              <w:widowControl w:val="0"/>
              <w:kinsoku/>
              <w:wordWrap/>
              <w:overflowPunct w:val="0"/>
              <w:topLinePunct/>
              <w:autoSpaceDE/>
              <w:autoSpaceDN/>
              <w:bidi w:val="0"/>
              <w:adjustRightInd/>
              <w:snapToGrid/>
              <w:spacing w:before="0" w:after="0" w:line="360" w:lineRule="auto"/>
              <w:ind w:firstLine="482" w:firstLineChars="200"/>
              <w:jc w:val="left"/>
              <w:textAlignment w:val="auto"/>
              <w:rPr>
                <w:rFonts w:hint="default" w:ascii="Times New Roman" w:hAnsi="Times New Roman" w:eastAsia="仿宋_GB2312" w:cs="Times New Roman"/>
                <w:b/>
                <w:color w:val="000000"/>
                <w:kern w:val="0"/>
                <w:sz w:val="24"/>
                <w:szCs w:val="24"/>
                <w:lang w:eastAsia="zh-CN"/>
              </w:rPr>
            </w:pPr>
            <w:r>
              <w:rPr>
                <w:rFonts w:hint="default" w:ascii="Times New Roman" w:hAnsi="Times New Roman" w:eastAsia="仿宋_GB2312" w:cs="Times New Roman"/>
                <w:b/>
                <w:color w:val="000000"/>
                <w:kern w:val="0"/>
                <w:sz w:val="24"/>
                <w:szCs w:val="24"/>
                <w:lang w:eastAsia="zh-CN"/>
              </w:rPr>
              <w:t>一、全面落实“以本为本、四个回归”</w:t>
            </w:r>
          </w:p>
          <w:p>
            <w:pPr>
              <w:pStyle w:val="9"/>
              <w:keepNext w:val="0"/>
              <w:keepLines w:val="0"/>
              <w:pageBreakBefore w:val="0"/>
              <w:widowControl w:val="0"/>
              <w:kinsoku/>
              <w:wordWrap/>
              <w:overflowPunct w:val="0"/>
              <w:topLinePunct/>
              <w:autoSpaceDE/>
              <w:autoSpaceDN/>
              <w:bidi w:val="0"/>
              <w:adjustRightInd/>
              <w:snapToGrid/>
              <w:spacing w:before="0" w:after="0" w:line="360" w:lineRule="auto"/>
              <w:ind w:firstLine="482" w:firstLineChars="200"/>
              <w:jc w:val="left"/>
              <w:textAlignment w:val="auto"/>
              <w:rPr>
                <w:rFonts w:hint="default" w:ascii="Times New Roman" w:hAnsi="Times New Roman" w:eastAsia="仿宋_GB2312" w:cs="Times New Roman"/>
                <w:b/>
                <w:color w:val="000000"/>
                <w:kern w:val="0"/>
                <w:sz w:val="24"/>
                <w:szCs w:val="24"/>
                <w:lang w:eastAsia="zh-CN"/>
              </w:rPr>
            </w:pPr>
            <w:bookmarkStart w:id="0" w:name="_Toc13961"/>
            <w:r>
              <w:rPr>
                <w:rFonts w:hint="default" w:ascii="Times New Roman" w:hAnsi="Times New Roman" w:eastAsia="仿宋_GB2312" w:cs="Times New Roman"/>
                <w:b/>
                <w:color w:val="000000"/>
                <w:kern w:val="0"/>
                <w:sz w:val="24"/>
                <w:szCs w:val="24"/>
                <w:lang w:eastAsia="zh-CN"/>
              </w:rPr>
              <w:t>1.强化人才培养中心地位</w:t>
            </w:r>
            <w:bookmarkEnd w:id="0"/>
          </w:p>
          <w:p>
            <w:pPr>
              <w:pStyle w:val="9"/>
              <w:keepNext w:val="0"/>
              <w:keepLines w:val="0"/>
              <w:pageBreakBefore w:val="0"/>
              <w:widowControl w:val="0"/>
              <w:kinsoku/>
              <w:wordWrap/>
              <w:overflowPunct w:val="0"/>
              <w:topLinePunct/>
              <w:autoSpaceDE/>
              <w:autoSpaceDN/>
              <w:bidi w:val="0"/>
              <w:adjustRightInd/>
              <w:snapToGrid/>
              <w:spacing w:before="0" w:after="0" w:line="360" w:lineRule="auto"/>
              <w:ind w:firstLine="480" w:firstLineChars="200"/>
              <w:jc w:val="left"/>
              <w:textAlignment w:val="auto"/>
              <w:rPr>
                <w:rFonts w:hint="default" w:ascii="Times New Roman" w:hAnsi="Times New Roman" w:eastAsia="仿宋_GB2312" w:cs="Times New Roman"/>
                <w:b/>
                <w:color w:val="000000"/>
                <w:kern w:val="0"/>
                <w:sz w:val="24"/>
                <w:szCs w:val="24"/>
                <w:lang w:eastAsia="zh-CN"/>
              </w:rPr>
            </w:pPr>
            <w:r>
              <w:rPr>
                <w:rFonts w:hint="default" w:ascii="Times New Roman" w:hAnsi="Times New Roman" w:eastAsia="仿宋_GB2312" w:cs="Times New Roman"/>
                <w:sz w:val="24"/>
                <w:szCs w:val="24"/>
                <w:lang w:eastAsia="zh-CN"/>
              </w:rPr>
              <w:t>高度重视教学工作的顶层设计，各级领导和全体教职工凝聚共识，形成合力，通过制度保障教学、科研促进教学、管理服务教学、舆论导向教学，不断强化人才培养中心地位。</w:t>
            </w:r>
          </w:p>
          <w:p>
            <w:pPr>
              <w:pStyle w:val="9"/>
              <w:keepNext w:val="0"/>
              <w:keepLines w:val="0"/>
              <w:pageBreakBefore w:val="0"/>
              <w:widowControl w:val="0"/>
              <w:kinsoku/>
              <w:wordWrap/>
              <w:overflowPunct w:val="0"/>
              <w:topLinePunct/>
              <w:autoSpaceDE/>
              <w:autoSpaceDN/>
              <w:bidi w:val="0"/>
              <w:adjustRightInd/>
              <w:snapToGrid/>
              <w:spacing w:before="0" w:after="0" w:line="360" w:lineRule="auto"/>
              <w:ind w:firstLine="482" w:firstLineChars="200"/>
              <w:jc w:val="left"/>
              <w:textAlignment w:val="auto"/>
              <w:rPr>
                <w:rFonts w:hint="default" w:ascii="Times New Roman" w:hAnsi="Times New Roman" w:eastAsia="仿宋_GB2312" w:cs="Times New Roman"/>
                <w:b/>
                <w:color w:val="000000"/>
                <w:kern w:val="0"/>
                <w:sz w:val="24"/>
                <w:szCs w:val="24"/>
                <w:lang w:eastAsia="zh-CN"/>
              </w:rPr>
            </w:pPr>
            <w:r>
              <w:rPr>
                <w:rFonts w:hint="default" w:ascii="Times New Roman" w:hAnsi="Times New Roman" w:eastAsia="仿宋_GB2312" w:cs="Times New Roman"/>
                <w:b/>
                <w:color w:val="000000"/>
                <w:kern w:val="0"/>
                <w:sz w:val="24"/>
                <w:szCs w:val="24"/>
                <w:lang w:val="en-US" w:eastAsia="zh-CN"/>
              </w:rPr>
              <w:t>2</w:t>
            </w:r>
            <w:r>
              <w:rPr>
                <w:rFonts w:hint="default" w:ascii="Times New Roman" w:hAnsi="Times New Roman" w:eastAsia="仿宋_GB2312" w:cs="Times New Roman"/>
                <w:b/>
                <w:color w:val="000000"/>
                <w:kern w:val="0"/>
                <w:sz w:val="24"/>
                <w:szCs w:val="24"/>
                <w:lang w:eastAsia="zh-CN"/>
              </w:rPr>
              <w:t>.</w:t>
            </w:r>
            <w:r>
              <w:rPr>
                <w:rFonts w:hint="default" w:ascii="Times New Roman" w:hAnsi="Times New Roman" w:eastAsia="仿宋_GB2312" w:cs="Times New Roman"/>
                <w:b/>
                <w:color w:val="000000"/>
                <w:kern w:val="0"/>
                <w:sz w:val="24"/>
                <w:szCs w:val="24"/>
                <w:lang w:val="en-US" w:eastAsia="zh-CN"/>
              </w:rPr>
              <w:t>完善</w:t>
            </w:r>
            <w:r>
              <w:rPr>
                <w:rFonts w:hint="default" w:ascii="Times New Roman" w:hAnsi="Times New Roman" w:eastAsia="仿宋_GB2312" w:cs="Times New Roman"/>
                <w:b/>
                <w:color w:val="000000"/>
                <w:kern w:val="0"/>
                <w:sz w:val="24"/>
                <w:szCs w:val="24"/>
                <w:lang w:eastAsia="zh-CN"/>
              </w:rPr>
              <w:t>质量标准与人才培养体系</w:t>
            </w:r>
          </w:p>
          <w:p>
            <w:pPr>
              <w:pStyle w:val="9"/>
              <w:keepNext w:val="0"/>
              <w:keepLines w:val="0"/>
              <w:pageBreakBefore w:val="0"/>
              <w:widowControl w:val="0"/>
              <w:kinsoku/>
              <w:wordWrap/>
              <w:overflowPunct w:val="0"/>
              <w:topLinePunct/>
              <w:autoSpaceDE/>
              <w:autoSpaceDN/>
              <w:bidi w:val="0"/>
              <w:adjustRightInd/>
              <w:snapToGrid/>
              <w:spacing w:before="0" w:after="0" w:line="360" w:lineRule="auto"/>
              <w:ind w:firstLine="480" w:firstLineChars="200"/>
              <w:jc w:val="left"/>
              <w:textAlignment w:val="auto"/>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sz w:val="24"/>
                <w:szCs w:val="24"/>
                <w:lang w:eastAsia="zh-CN"/>
              </w:rPr>
              <w:t>按照国家专业类教学质量标准和行业标准，</w:t>
            </w:r>
            <w:r>
              <w:rPr>
                <w:rFonts w:hint="default" w:ascii="Times New Roman" w:hAnsi="Times New Roman" w:eastAsia="仿宋_GB2312" w:cs="Times New Roman"/>
                <w:kern w:val="0"/>
                <w:sz w:val="24"/>
                <w:szCs w:val="24"/>
                <w:lang w:val="ru-RU" w:eastAsia="zh-CN" w:bidi="ar-SA"/>
              </w:rPr>
              <w:t>完善专业教学质量标准，编制发布年度分专业教学质量报告。</w:t>
            </w:r>
            <w:r>
              <w:rPr>
                <w:rFonts w:hint="default" w:ascii="Times New Roman" w:hAnsi="Times New Roman" w:eastAsia="仿宋_GB2312" w:cs="Times New Roman"/>
                <w:kern w:val="0"/>
                <w:sz w:val="24"/>
                <w:szCs w:val="24"/>
                <w:lang w:eastAsia="zh-CN"/>
              </w:rPr>
              <w:t>对接国家双一流建设、创新创业教育改革、专业认证评估等高等教育综合改革和建设任务，2017年对人才培养方案进行了修订；2018年适度缩减总学时学分；</w:t>
            </w:r>
            <w:r>
              <w:rPr>
                <w:rFonts w:hint="default" w:ascii="Times New Roman" w:hAnsi="Times New Roman" w:eastAsia="仿宋_GB2312" w:cs="Times New Roman"/>
                <w:kern w:val="0"/>
                <w:sz w:val="24"/>
                <w:szCs w:val="24"/>
                <w:lang w:val="en-US" w:eastAsia="zh-CN"/>
              </w:rPr>
              <w:t>2020年全面修订人才培养方案，推行学分制改革。</w:t>
            </w:r>
          </w:p>
          <w:p>
            <w:pPr>
              <w:pStyle w:val="9"/>
              <w:keepNext w:val="0"/>
              <w:keepLines w:val="0"/>
              <w:pageBreakBefore w:val="0"/>
              <w:widowControl w:val="0"/>
              <w:numPr>
                <w:ilvl w:val="0"/>
                <w:numId w:val="0"/>
              </w:numPr>
              <w:kinsoku/>
              <w:wordWrap/>
              <w:overflowPunct w:val="0"/>
              <w:topLinePunct/>
              <w:autoSpaceDE/>
              <w:autoSpaceDN/>
              <w:bidi w:val="0"/>
              <w:adjustRightInd/>
              <w:snapToGrid/>
              <w:spacing w:before="0" w:after="0" w:line="360" w:lineRule="auto"/>
              <w:ind w:firstLine="482" w:firstLineChars="200"/>
              <w:jc w:val="left"/>
              <w:textAlignment w:val="auto"/>
              <w:rPr>
                <w:rFonts w:hint="default" w:ascii="Times New Roman" w:hAnsi="Times New Roman" w:eastAsia="仿宋_GB2312" w:cs="Times New Roman"/>
                <w:b/>
                <w:color w:val="000000"/>
                <w:kern w:val="0"/>
                <w:sz w:val="24"/>
                <w:szCs w:val="24"/>
                <w:lang w:val="ru-RU" w:eastAsia="zh-CN" w:bidi="ar-SA"/>
              </w:rPr>
            </w:pPr>
            <w:r>
              <w:rPr>
                <w:rFonts w:hint="default" w:ascii="Times New Roman" w:hAnsi="Times New Roman" w:eastAsia="仿宋_GB2312" w:cs="Times New Roman"/>
                <w:b/>
                <w:color w:val="000000"/>
                <w:kern w:val="0"/>
                <w:sz w:val="24"/>
                <w:szCs w:val="24"/>
                <w:lang w:val="en-US" w:eastAsia="zh-CN" w:bidi="ar-SA"/>
              </w:rPr>
              <w:t>3.</w:t>
            </w:r>
            <w:r>
              <w:rPr>
                <w:rFonts w:hint="default" w:ascii="Times New Roman" w:hAnsi="Times New Roman" w:eastAsia="仿宋_GB2312" w:cs="Times New Roman"/>
                <w:b/>
                <w:color w:val="000000"/>
                <w:kern w:val="0"/>
                <w:sz w:val="24"/>
                <w:szCs w:val="24"/>
                <w:lang w:val="ru-RU" w:eastAsia="zh-CN" w:bidi="ar-SA"/>
              </w:rPr>
              <w:t>全面推进一流专业建设</w:t>
            </w:r>
          </w:p>
          <w:p>
            <w:pPr>
              <w:pStyle w:val="9"/>
              <w:keepNext w:val="0"/>
              <w:keepLines w:val="0"/>
              <w:pageBreakBefore w:val="0"/>
              <w:widowControl w:val="0"/>
              <w:numPr>
                <w:ilvl w:val="0"/>
                <w:numId w:val="0"/>
              </w:numPr>
              <w:kinsoku/>
              <w:wordWrap/>
              <w:overflowPunct w:val="0"/>
              <w:topLinePunct/>
              <w:autoSpaceDE/>
              <w:autoSpaceDN/>
              <w:bidi w:val="0"/>
              <w:adjustRightInd/>
              <w:snapToGrid/>
              <w:spacing w:before="0" w:after="0" w:line="360" w:lineRule="auto"/>
              <w:ind w:firstLine="480" w:firstLineChars="200"/>
              <w:jc w:val="left"/>
              <w:textAlignment w:val="auto"/>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ru-RU" w:eastAsia="zh-CN" w:bidi="ar-SA"/>
              </w:rPr>
              <w:t>对接国家一流专业建设“双万计划”，结合学校实际，制定实施《湖南科技大学一流专业和一流课程建设实施方案》。采矿工程等</w:t>
            </w:r>
            <w:r>
              <w:rPr>
                <w:rFonts w:hint="eastAsia" w:ascii="Times New Roman" w:hAnsi="Times New Roman" w:eastAsia="仿宋_GB2312" w:cs="Times New Roman"/>
                <w:kern w:val="0"/>
                <w:sz w:val="24"/>
                <w:szCs w:val="24"/>
                <w:lang w:val="en-US" w:eastAsia="zh-CN" w:bidi="ar-SA"/>
              </w:rPr>
              <w:t>9</w:t>
            </w:r>
            <w:r>
              <w:rPr>
                <w:rFonts w:hint="default" w:ascii="Times New Roman" w:hAnsi="Times New Roman" w:eastAsia="仿宋_GB2312" w:cs="Times New Roman"/>
                <w:kern w:val="0"/>
                <w:sz w:val="24"/>
                <w:szCs w:val="24"/>
                <w:lang w:val="ru-RU" w:eastAsia="zh-CN" w:bidi="ar-SA"/>
              </w:rPr>
              <w:t>个专业获国家级一流专业建设点，经济学等</w:t>
            </w:r>
            <w:r>
              <w:rPr>
                <w:rFonts w:hint="eastAsia" w:ascii="Times New Roman" w:hAnsi="Times New Roman" w:eastAsia="仿宋_GB2312" w:cs="Times New Roman"/>
                <w:kern w:val="0"/>
                <w:sz w:val="24"/>
                <w:szCs w:val="24"/>
                <w:lang w:val="en-US" w:eastAsia="zh-CN" w:bidi="ar-SA"/>
              </w:rPr>
              <w:t>35</w:t>
            </w:r>
            <w:r>
              <w:rPr>
                <w:rFonts w:hint="default" w:ascii="Times New Roman" w:hAnsi="Times New Roman" w:eastAsia="仿宋_GB2312" w:cs="Times New Roman"/>
                <w:kern w:val="0"/>
                <w:sz w:val="24"/>
                <w:szCs w:val="24"/>
                <w:lang w:val="ru-RU" w:eastAsia="zh-CN" w:bidi="ar-SA"/>
              </w:rPr>
              <w:t>个专业获省级一流专业建设点。安全工程</w:t>
            </w:r>
            <w:r>
              <w:rPr>
                <w:rFonts w:hint="default" w:ascii="Times New Roman" w:hAnsi="Times New Roman" w:eastAsia="仿宋_GB2312" w:cs="Times New Roman"/>
                <w:kern w:val="0"/>
                <w:sz w:val="24"/>
                <w:szCs w:val="24"/>
                <w:lang w:val="en-US" w:eastAsia="zh-CN" w:bidi="ar-SA"/>
              </w:rPr>
              <w:t>等</w:t>
            </w:r>
            <w:r>
              <w:rPr>
                <w:rFonts w:hint="default" w:ascii="Times New Roman" w:hAnsi="Times New Roman" w:eastAsia="仿宋_GB2312" w:cs="Times New Roman"/>
                <w:kern w:val="0"/>
                <w:sz w:val="24"/>
                <w:szCs w:val="24"/>
                <w:lang w:val="ru-RU" w:eastAsia="zh-CN" w:bidi="ar-SA"/>
              </w:rPr>
              <w:t>5个专业通过工程教育专业认证或专业教育评估。</w:t>
            </w:r>
          </w:p>
          <w:p>
            <w:pPr>
              <w:keepNext w:val="0"/>
              <w:keepLines w:val="0"/>
              <w:pageBreakBefore w:val="0"/>
              <w:kinsoku/>
              <w:wordWrap/>
              <w:autoSpaceDE/>
              <w:autoSpaceDN/>
              <w:bidi w:val="0"/>
              <w:adjustRightInd/>
              <w:snapToGrid/>
              <w:spacing w:line="360" w:lineRule="auto"/>
              <w:ind w:firstLine="482" w:firstLineChars="200"/>
              <w:textAlignment w:val="auto"/>
              <w:rPr>
                <w:rFonts w:hint="default" w:ascii="Times New Roman" w:hAnsi="Times New Roman" w:eastAsia="仿宋_GB2312" w:cs="Times New Roman"/>
                <w:b/>
                <w:color w:val="000000"/>
                <w:kern w:val="0"/>
                <w:sz w:val="24"/>
                <w:szCs w:val="24"/>
                <w:lang w:val="ru-RU"/>
              </w:rPr>
            </w:pPr>
            <w:r>
              <w:rPr>
                <w:rFonts w:hint="default" w:ascii="Times New Roman" w:hAnsi="Times New Roman" w:eastAsia="仿宋_GB2312" w:cs="Times New Roman"/>
                <w:b/>
                <w:color w:val="000000"/>
                <w:kern w:val="0"/>
                <w:sz w:val="24"/>
                <w:szCs w:val="24"/>
                <w:lang w:val="en-US" w:eastAsia="zh-CN"/>
              </w:rPr>
              <w:t>4</w:t>
            </w:r>
            <w:r>
              <w:rPr>
                <w:rFonts w:hint="default" w:ascii="Times New Roman" w:hAnsi="Times New Roman" w:eastAsia="仿宋_GB2312" w:cs="Times New Roman"/>
                <w:b/>
                <w:color w:val="000000"/>
                <w:kern w:val="0"/>
                <w:sz w:val="24"/>
                <w:szCs w:val="24"/>
              </w:rPr>
              <w:t>.</w:t>
            </w:r>
            <w:r>
              <w:rPr>
                <w:rFonts w:hint="default" w:ascii="Times New Roman" w:hAnsi="Times New Roman" w:eastAsia="仿宋_GB2312" w:cs="Times New Roman"/>
                <w:b/>
                <w:color w:val="000000"/>
                <w:kern w:val="0"/>
                <w:sz w:val="24"/>
                <w:szCs w:val="24"/>
                <w:lang w:val="ru-RU"/>
              </w:rPr>
              <w:t>提升教书育人能力</w:t>
            </w:r>
          </w:p>
          <w:p>
            <w:pPr>
              <w:keepNext w:val="0"/>
              <w:keepLines w:val="0"/>
              <w:pageBreakBefore w:val="0"/>
              <w:kinsoku/>
              <w:wordWrap/>
              <w:autoSpaceDE/>
              <w:autoSpaceDN/>
              <w:bidi w:val="0"/>
              <w:adjustRightInd/>
              <w:snapToGrid/>
              <w:spacing w:line="360" w:lineRule="auto"/>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加强师德师风建设，牢固树立“四有”好老师标准。建立健全教师职业发展规划，强化教职员工培训，提高教师专业技能、信息化教学水平。选拔青年教师赴国外高水平机构访学交流，培养具有宽广国际视野的新时代教师。全面梳理教育教学评价体系，鼓励教师潜心教学。推进智慧教室建设，加强课程思政，打造智慧课堂。</w:t>
            </w:r>
          </w:p>
          <w:p>
            <w:pPr>
              <w:pStyle w:val="9"/>
              <w:keepNext w:val="0"/>
              <w:keepLines w:val="0"/>
              <w:pageBreakBefore w:val="0"/>
              <w:widowControl w:val="0"/>
              <w:numPr>
                <w:ilvl w:val="0"/>
                <w:numId w:val="1"/>
              </w:numPr>
              <w:kinsoku/>
              <w:wordWrap/>
              <w:overflowPunct w:val="0"/>
              <w:topLinePunct/>
              <w:autoSpaceDE/>
              <w:autoSpaceDN/>
              <w:bidi w:val="0"/>
              <w:adjustRightInd/>
              <w:snapToGrid/>
              <w:spacing w:before="0" w:after="0" w:line="360" w:lineRule="auto"/>
              <w:ind w:firstLine="482" w:firstLineChars="200"/>
              <w:jc w:val="left"/>
              <w:textAlignment w:val="auto"/>
              <w:rPr>
                <w:rFonts w:hint="default" w:ascii="Times New Roman" w:hAnsi="Times New Roman" w:eastAsia="仿宋_GB2312" w:cs="Times New Roman"/>
                <w:b/>
                <w:color w:val="000000"/>
                <w:kern w:val="0"/>
                <w:sz w:val="24"/>
                <w:szCs w:val="24"/>
                <w:lang w:eastAsia="zh-CN"/>
              </w:rPr>
            </w:pPr>
            <w:r>
              <w:rPr>
                <w:rFonts w:hint="default" w:ascii="Times New Roman" w:hAnsi="Times New Roman" w:eastAsia="仿宋_GB2312" w:cs="Times New Roman"/>
                <w:b/>
                <w:color w:val="000000"/>
                <w:kern w:val="0"/>
                <w:sz w:val="24"/>
                <w:szCs w:val="24"/>
                <w:lang w:eastAsia="zh-CN"/>
              </w:rPr>
              <w:t>推进“四新”建设</w:t>
            </w:r>
          </w:p>
          <w:p>
            <w:pPr>
              <w:keepNext w:val="0"/>
              <w:keepLines w:val="0"/>
              <w:pageBreakBefore w:val="0"/>
              <w:kinsoku/>
              <w:wordWrap/>
              <w:overflowPunct w:val="0"/>
              <w:topLinePunct/>
              <w:autoSpaceDE/>
              <w:autoSpaceDN/>
              <w:bidi w:val="0"/>
              <w:adjustRightInd/>
              <w:snapToGrid/>
              <w:spacing w:line="360" w:lineRule="auto"/>
              <w:ind w:firstLine="480" w:firstLineChars="200"/>
              <w:jc w:val="lef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2016年完成涉及26个专业的院系设置及学科专业布局调整。</w:t>
            </w:r>
            <w:r>
              <w:rPr>
                <w:rFonts w:hint="default" w:ascii="Times New Roman" w:hAnsi="Times New Roman" w:eastAsia="仿宋_GB2312" w:cs="Times New Roman"/>
                <w:kern w:val="0"/>
                <w:sz w:val="24"/>
                <w:szCs w:val="24"/>
                <w:lang w:val="ru-RU" w:eastAsia="zh-CN" w:bidi="ar-SA"/>
              </w:rPr>
              <w:t>按照“改造传统专业，巩固优势专业，打造特色专业，发展新工科、新文科专业”的思路，主动服务经济社会发展需要，适应知识创新、科技进步以及学科发展需要，新增数据科学与大数据技术</w:t>
            </w:r>
            <w:r>
              <w:rPr>
                <w:rFonts w:hint="default" w:ascii="Times New Roman" w:hAnsi="Times New Roman" w:eastAsia="仿宋_GB2312" w:cs="Times New Roman"/>
                <w:kern w:val="0"/>
                <w:sz w:val="24"/>
                <w:szCs w:val="24"/>
                <w:lang w:val="en-US" w:eastAsia="zh-CN" w:bidi="ar-SA"/>
              </w:rPr>
              <w:t>等</w:t>
            </w:r>
            <w:r>
              <w:rPr>
                <w:rFonts w:hint="default" w:ascii="Times New Roman" w:hAnsi="Times New Roman" w:eastAsia="仿宋_GB2312" w:cs="Times New Roman"/>
                <w:kern w:val="0"/>
                <w:sz w:val="24"/>
                <w:szCs w:val="24"/>
                <w:lang w:val="ru-RU" w:eastAsia="zh-CN" w:bidi="ar-SA"/>
              </w:rPr>
              <w:t>6个专业，</w:t>
            </w:r>
            <w:r>
              <w:rPr>
                <w:rFonts w:hint="default" w:ascii="Times New Roman" w:hAnsi="Times New Roman" w:eastAsia="仿宋_GB2312" w:cs="Times New Roman"/>
                <w:kern w:val="0"/>
                <w:sz w:val="24"/>
                <w:szCs w:val="24"/>
                <w:lang w:val="en-US" w:eastAsia="zh-CN" w:bidi="ar-SA"/>
              </w:rPr>
              <w:t>暂停招生</w:t>
            </w:r>
            <w:r>
              <w:rPr>
                <w:rFonts w:hint="default" w:ascii="Times New Roman" w:hAnsi="Times New Roman" w:eastAsia="仿宋_GB2312" w:cs="Times New Roman"/>
                <w:kern w:val="0"/>
                <w:sz w:val="24"/>
                <w:szCs w:val="24"/>
                <w:lang w:val="ru-RU" w:eastAsia="zh-CN" w:bidi="ar-SA"/>
              </w:rPr>
              <w:t>汉语言等14个专业，</w:t>
            </w:r>
            <w:r>
              <w:rPr>
                <w:rFonts w:hint="default" w:ascii="Times New Roman" w:hAnsi="Times New Roman" w:eastAsia="仿宋_GB2312" w:cs="Times New Roman"/>
                <w:kern w:val="0"/>
                <w:sz w:val="24"/>
                <w:szCs w:val="24"/>
                <w:lang w:val="en-US" w:eastAsia="zh-CN" w:bidi="ar-SA"/>
              </w:rPr>
              <w:t>不断优化专业布局</w:t>
            </w:r>
            <w:r>
              <w:rPr>
                <w:rFonts w:hint="default" w:ascii="Times New Roman" w:hAnsi="Times New Roman" w:eastAsia="仿宋_GB2312" w:cs="Times New Roman"/>
                <w:kern w:val="0"/>
                <w:sz w:val="24"/>
                <w:szCs w:val="24"/>
                <w:lang w:val="ru-RU" w:eastAsia="zh-CN" w:bidi="ar-SA"/>
              </w:rPr>
              <w:t>。</w:t>
            </w:r>
            <w:r>
              <w:rPr>
                <w:rFonts w:hint="default" w:ascii="Times New Roman" w:hAnsi="Times New Roman" w:eastAsia="仿宋_GB2312" w:cs="Times New Roman"/>
                <w:kern w:val="0"/>
                <w:sz w:val="24"/>
                <w:szCs w:val="24"/>
              </w:rPr>
              <w:t>以教育部等部委实施“千人计划”“双千计划”为契机，稳步推进新闻传播类、法学类等新文科专业建设，强化实操能力的培养。</w:t>
            </w:r>
          </w:p>
          <w:p>
            <w:pPr>
              <w:pStyle w:val="9"/>
              <w:keepNext w:val="0"/>
              <w:keepLines w:val="0"/>
              <w:pageBreakBefore w:val="0"/>
              <w:widowControl w:val="0"/>
              <w:kinsoku/>
              <w:wordWrap/>
              <w:overflowPunct w:val="0"/>
              <w:topLinePunct/>
              <w:autoSpaceDE/>
              <w:autoSpaceDN/>
              <w:bidi w:val="0"/>
              <w:adjustRightInd/>
              <w:snapToGrid/>
              <w:spacing w:before="0" w:after="0" w:line="360" w:lineRule="auto"/>
              <w:ind w:firstLine="482" w:firstLineChars="200"/>
              <w:jc w:val="left"/>
              <w:textAlignment w:val="auto"/>
              <w:rPr>
                <w:rFonts w:hint="default" w:ascii="Times New Roman" w:hAnsi="Times New Roman" w:eastAsia="仿宋_GB2312" w:cs="Times New Roman"/>
                <w:b/>
                <w:color w:val="000000"/>
                <w:kern w:val="0"/>
                <w:sz w:val="24"/>
                <w:szCs w:val="24"/>
                <w:lang w:eastAsia="zh-CN"/>
              </w:rPr>
            </w:pPr>
            <w:r>
              <w:rPr>
                <w:rFonts w:hint="default" w:ascii="Times New Roman" w:hAnsi="Times New Roman" w:eastAsia="仿宋_GB2312" w:cs="Times New Roman"/>
                <w:b/>
                <w:color w:val="000000"/>
                <w:kern w:val="0"/>
                <w:sz w:val="24"/>
                <w:szCs w:val="24"/>
                <w:lang w:eastAsia="zh-CN"/>
              </w:rPr>
              <w:t>三、完善协同育人和实践教学机制</w:t>
            </w:r>
          </w:p>
          <w:p>
            <w:pPr>
              <w:pStyle w:val="9"/>
              <w:keepNext w:val="0"/>
              <w:keepLines w:val="0"/>
              <w:pageBreakBefore w:val="0"/>
              <w:widowControl w:val="0"/>
              <w:kinsoku/>
              <w:wordWrap/>
              <w:overflowPunct w:val="0"/>
              <w:topLinePunct/>
              <w:autoSpaceDE/>
              <w:autoSpaceDN/>
              <w:bidi w:val="0"/>
              <w:adjustRightInd/>
              <w:snapToGrid/>
              <w:spacing w:before="0" w:after="0" w:line="360" w:lineRule="auto"/>
              <w:ind w:firstLine="480" w:firstLineChars="200"/>
              <w:jc w:val="left"/>
              <w:textAlignment w:val="auto"/>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sz w:val="24"/>
                <w:szCs w:val="24"/>
                <w:lang w:eastAsia="zh-CN"/>
              </w:rPr>
              <w:t>积极推进学校与地方政府、行业组织、企事业单位、高校科研院所等协同创新，建立实习实践基地，发挥其在人才培养</w:t>
            </w:r>
            <w:r>
              <w:rPr>
                <w:rFonts w:hint="default" w:ascii="Times New Roman" w:hAnsi="Times New Roman" w:eastAsia="仿宋_GB2312" w:cs="Times New Roman"/>
                <w:sz w:val="24"/>
                <w:szCs w:val="24"/>
                <w:lang w:val="en-US" w:eastAsia="zh-CN"/>
              </w:rPr>
              <w:t>中</w:t>
            </w:r>
            <w:r>
              <w:rPr>
                <w:rFonts w:hint="default" w:ascii="Times New Roman" w:hAnsi="Times New Roman" w:eastAsia="仿宋_GB2312" w:cs="Times New Roman"/>
                <w:sz w:val="24"/>
                <w:szCs w:val="24"/>
                <w:lang w:eastAsia="zh-CN"/>
              </w:rPr>
              <w:t>的指导和合作育人作用；积极拓展国外办学资源，扩大来校留学生和出国出境交流生规模，加强与国外境外高校联合办学，推进人才培养模式改革创新和教育教学国际化进程。</w:t>
            </w:r>
          </w:p>
          <w:p>
            <w:pPr>
              <w:pStyle w:val="9"/>
              <w:keepNext w:val="0"/>
              <w:keepLines w:val="0"/>
              <w:pageBreakBefore w:val="0"/>
              <w:widowControl w:val="0"/>
              <w:kinsoku/>
              <w:wordWrap/>
              <w:overflowPunct w:val="0"/>
              <w:topLinePunct/>
              <w:autoSpaceDE/>
              <w:autoSpaceDN/>
              <w:bidi w:val="0"/>
              <w:adjustRightInd/>
              <w:snapToGrid/>
              <w:spacing w:before="0" w:after="0" w:line="360" w:lineRule="auto"/>
              <w:ind w:firstLine="482" w:firstLineChars="200"/>
              <w:jc w:val="left"/>
              <w:textAlignment w:val="auto"/>
              <w:rPr>
                <w:rFonts w:hint="default" w:ascii="Times New Roman" w:hAnsi="Times New Roman" w:eastAsia="仿宋_GB2312" w:cs="Times New Roman"/>
                <w:b/>
                <w:color w:val="000000"/>
                <w:kern w:val="0"/>
                <w:sz w:val="24"/>
                <w:szCs w:val="24"/>
                <w:lang w:eastAsia="zh-CN"/>
              </w:rPr>
            </w:pPr>
            <w:r>
              <w:rPr>
                <w:rFonts w:hint="default" w:ascii="Times New Roman" w:hAnsi="Times New Roman" w:eastAsia="仿宋_GB2312" w:cs="Times New Roman"/>
                <w:b/>
                <w:color w:val="000000"/>
                <w:kern w:val="0"/>
                <w:sz w:val="24"/>
                <w:szCs w:val="24"/>
                <w:lang w:eastAsia="zh-CN"/>
              </w:rPr>
              <w:t>四、培育以人才培养为中心的质量文化</w:t>
            </w:r>
          </w:p>
          <w:p>
            <w:pPr>
              <w:keepNext w:val="0"/>
              <w:keepLines w:val="0"/>
              <w:pageBreakBefore w:val="0"/>
              <w:kinsoku/>
              <w:wordWrap/>
              <w:autoSpaceDE/>
              <w:autoSpaceDN/>
              <w:bidi w:val="0"/>
              <w:adjustRightInd/>
              <w:snapToGrid/>
              <w:spacing w:line="360" w:lineRule="auto"/>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ru-RU" w:eastAsia="zh-CN" w:bidi="ar-SA"/>
              </w:rPr>
              <w:t>自2011年以来，创造性开展“教学礼拜”主题活动，形成了“尊重教师、关爱学生、礼拜教学”的校园氛围。“教学礼拜”入校历，设立“主题日”，固化为一项制度，全校师生已养成为一种自觉，逐步升华形成了学校“全局以教学为中心、教学以学生为主体、发展以质量为目标”的质量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973" w:type="dxa"/>
            <w:vMerge w:val="restart"/>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学校关于本科</w:t>
            </w:r>
          </w:p>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人才培养的重要</w:t>
            </w:r>
          </w:p>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政策文件</w:t>
            </w:r>
          </w:p>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（限10项）</w:t>
            </w:r>
          </w:p>
        </w:tc>
        <w:tc>
          <w:tcPr>
            <w:tcW w:w="708" w:type="dxa"/>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4402" w:type="dxa"/>
            <w:gridSpan w:val="3"/>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文件名称</w:t>
            </w:r>
          </w:p>
        </w:tc>
        <w:tc>
          <w:tcPr>
            <w:tcW w:w="1276" w:type="dxa"/>
            <w:gridSpan w:val="2"/>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印发时间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hint="default" w:ascii="Times New Roman" w:hAnsi="Times New Roman" w:eastAsia="仿宋_GB2312" w:cs="Times New Roman"/>
                <w:sz w:val="24"/>
                <w:szCs w:val="24"/>
              </w:rPr>
            </w:pPr>
          </w:p>
        </w:tc>
        <w:tc>
          <w:tcPr>
            <w:tcW w:w="708" w:type="dxa"/>
            <w:vAlign w:val="center"/>
          </w:tcPr>
          <w:p>
            <w:pPr>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1</w:t>
            </w:r>
          </w:p>
        </w:tc>
        <w:tc>
          <w:tcPr>
            <w:tcW w:w="4402" w:type="dxa"/>
            <w:gridSpan w:val="3"/>
            <w:vAlign w:val="top"/>
          </w:tcPr>
          <w:p>
            <w:pPr>
              <w:spacing w:line="400" w:lineRule="exact"/>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湖南科技大学</w:t>
            </w:r>
            <w:r>
              <w:rPr>
                <w:rFonts w:hint="default" w:ascii="Times New Roman" w:hAnsi="Times New Roman" w:eastAsia="仿宋_GB2312" w:cs="Times New Roman"/>
                <w:sz w:val="24"/>
                <w:szCs w:val="24"/>
              </w:rPr>
              <w:t>关于</w:t>
            </w:r>
            <w:r>
              <w:rPr>
                <w:rFonts w:hint="default" w:ascii="Times New Roman" w:hAnsi="Times New Roman" w:eastAsia="仿宋_GB2312" w:cs="Times New Roman"/>
                <w:sz w:val="24"/>
                <w:szCs w:val="24"/>
                <w:lang w:val="en-US" w:eastAsia="zh-CN"/>
              </w:rPr>
              <w:t>修订</w:t>
            </w:r>
            <w:r>
              <w:rPr>
                <w:rFonts w:hint="default" w:ascii="Times New Roman" w:hAnsi="Times New Roman" w:eastAsia="仿宋_GB2312" w:cs="Times New Roman"/>
                <w:sz w:val="24"/>
                <w:szCs w:val="24"/>
              </w:rPr>
              <w:t>本科人才培养方案的指导性意见》（科大政发〔20</w:t>
            </w:r>
            <w:r>
              <w:rPr>
                <w:rFonts w:hint="default" w:ascii="Times New Roman" w:hAnsi="Times New Roman" w:eastAsia="仿宋_GB2312" w:cs="Times New Roman"/>
                <w:sz w:val="24"/>
                <w:szCs w:val="24"/>
                <w:lang w:val="en-US" w:eastAsia="zh-CN"/>
              </w:rPr>
              <w:t>20</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91</w:t>
            </w:r>
            <w:r>
              <w:rPr>
                <w:rFonts w:hint="default" w:ascii="Times New Roman" w:hAnsi="Times New Roman" w:eastAsia="仿宋_GB2312" w:cs="Times New Roman"/>
                <w:sz w:val="24"/>
                <w:szCs w:val="24"/>
              </w:rPr>
              <w:t>号）</w:t>
            </w:r>
          </w:p>
        </w:tc>
        <w:tc>
          <w:tcPr>
            <w:tcW w:w="1276" w:type="dxa"/>
            <w:gridSpan w:val="2"/>
            <w:vAlign w:val="center"/>
          </w:tcPr>
          <w:p>
            <w:pPr>
              <w:spacing w:line="40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20</w:t>
            </w:r>
            <w:r>
              <w:rPr>
                <w:rFonts w:hint="default" w:ascii="Times New Roman" w:hAnsi="Times New Roman" w:eastAsia="仿宋_GB2312" w:cs="Times New Roman"/>
                <w:sz w:val="24"/>
                <w:szCs w:val="24"/>
                <w:lang w:val="en-US" w:eastAsia="zh-CN"/>
              </w:rPr>
              <w:t>20</w:t>
            </w:r>
            <w:r>
              <w:rPr>
                <w:rFonts w:hint="eastAsia" w:ascii="Times New Roman" w:hAnsi="Times New Roman" w:eastAsia="仿宋_GB2312" w:cs="Times New Roman"/>
                <w:sz w:val="24"/>
                <w:szCs w:val="24"/>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hint="default" w:ascii="Times New Roman" w:hAnsi="Times New Roman" w:eastAsia="仿宋_GB2312" w:cs="Times New Roman"/>
                <w:sz w:val="24"/>
                <w:szCs w:val="24"/>
              </w:rPr>
            </w:pPr>
          </w:p>
        </w:tc>
        <w:tc>
          <w:tcPr>
            <w:tcW w:w="708" w:type="dxa"/>
            <w:vAlign w:val="center"/>
          </w:tcPr>
          <w:p>
            <w:pPr>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2</w:t>
            </w:r>
          </w:p>
        </w:tc>
        <w:tc>
          <w:tcPr>
            <w:tcW w:w="4402" w:type="dxa"/>
            <w:gridSpan w:val="3"/>
            <w:vAlign w:val="top"/>
          </w:tcPr>
          <w:p>
            <w:pPr>
              <w:spacing w:line="400" w:lineRule="exact"/>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湖南科技大学一流专业和一流课程建设实施方案（科大政发〔20</w:t>
            </w:r>
            <w:r>
              <w:rPr>
                <w:rFonts w:hint="default" w:ascii="Times New Roman" w:hAnsi="Times New Roman" w:eastAsia="仿宋_GB2312" w:cs="Times New Roman"/>
                <w:sz w:val="24"/>
                <w:szCs w:val="24"/>
                <w:lang w:val="en-US" w:eastAsia="zh-CN"/>
              </w:rPr>
              <w:t>20</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120</w:t>
            </w:r>
            <w:r>
              <w:rPr>
                <w:rFonts w:hint="default" w:ascii="Times New Roman" w:hAnsi="Times New Roman" w:eastAsia="仿宋_GB2312" w:cs="Times New Roman"/>
                <w:sz w:val="24"/>
                <w:szCs w:val="24"/>
              </w:rPr>
              <w:t>号）</w:t>
            </w:r>
          </w:p>
        </w:tc>
        <w:tc>
          <w:tcPr>
            <w:tcW w:w="1276" w:type="dxa"/>
            <w:gridSpan w:val="2"/>
            <w:vAlign w:val="center"/>
          </w:tcPr>
          <w:p>
            <w:pPr>
              <w:spacing w:line="40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2020</w:t>
            </w:r>
            <w:r>
              <w:rPr>
                <w:rFonts w:hint="eastAsia" w:ascii="Times New Roman" w:hAnsi="Times New Roman" w:eastAsia="仿宋_GB2312" w:cs="Times New Roman"/>
                <w:sz w:val="24"/>
                <w:szCs w:val="24"/>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hint="default" w:ascii="Times New Roman" w:hAnsi="Times New Roman" w:eastAsia="仿宋_GB2312" w:cs="Times New Roman"/>
                <w:sz w:val="24"/>
                <w:szCs w:val="24"/>
              </w:rPr>
            </w:pPr>
          </w:p>
        </w:tc>
        <w:tc>
          <w:tcPr>
            <w:tcW w:w="708" w:type="dxa"/>
            <w:vAlign w:val="center"/>
          </w:tcPr>
          <w:p>
            <w:pPr>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3</w:t>
            </w:r>
          </w:p>
        </w:tc>
        <w:tc>
          <w:tcPr>
            <w:tcW w:w="4402" w:type="dxa"/>
            <w:gridSpan w:val="3"/>
            <w:vAlign w:val="top"/>
          </w:tcPr>
          <w:p>
            <w:pPr>
              <w:spacing w:line="400" w:lineRule="exact"/>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湖南科技大学一流本科教育行动计划（2019-2022）</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科大政发〔2019〕46号</w:t>
            </w:r>
            <w:r>
              <w:rPr>
                <w:rFonts w:hint="default" w:ascii="Times New Roman" w:hAnsi="Times New Roman" w:eastAsia="仿宋_GB2312" w:cs="Times New Roman"/>
                <w:sz w:val="24"/>
                <w:szCs w:val="24"/>
                <w:lang w:val="en-US" w:eastAsia="zh-CN"/>
              </w:rPr>
              <w:t>)</w:t>
            </w:r>
          </w:p>
        </w:tc>
        <w:tc>
          <w:tcPr>
            <w:tcW w:w="1276" w:type="dxa"/>
            <w:gridSpan w:val="2"/>
            <w:vAlign w:val="center"/>
          </w:tcPr>
          <w:p>
            <w:pPr>
              <w:spacing w:line="40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2019</w:t>
            </w:r>
            <w:r>
              <w:rPr>
                <w:rFonts w:hint="eastAsia" w:ascii="Times New Roman" w:hAnsi="Times New Roman" w:eastAsia="仿宋_GB2312" w:cs="Times New Roman"/>
                <w:sz w:val="24"/>
                <w:szCs w:val="24"/>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hint="default" w:ascii="Times New Roman" w:hAnsi="Times New Roman" w:eastAsia="仿宋_GB2312" w:cs="Times New Roman"/>
                <w:sz w:val="24"/>
                <w:szCs w:val="24"/>
              </w:rPr>
            </w:pPr>
          </w:p>
        </w:tc>
        <w:tc>
          <w:tcPr>
            <w:tcW w:w="708" w:type="dxa"/>
            <w:vAlign w:val="center"/>
          </w:tcPr>
          <w:p>
            <w:pPr>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4</w:t>
            </w:r>
          </w:p>
        </w:tc>
        <w:tc>
          <w:tcPr>
            <w:tcW w:w="4402" w:type="dxa"/>
            <w:gridSpan w:val="3"/>
            <w:vAlign w:val="top"/>
          </w:tcPr>
          <w:p>
            <w:pPr>
              <w:spacing w:line="400" w:lineRule="exact"/>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《湖南科技大学本科</w:t>
            </w:r>
            <w:r>
              <w:rPr>
                <w:rFonts w:hint="default" w:ascii="Times New Roman" w:hAnsi="Times New Roman" w:eastAsia="仿宋_GB2312" w:cs="Times New Roman"/>
                <w:sz w:val="24"/>
                <w:szCs w:val="24"/>
                <w:lang w:val="en-US" w:eastAsia="zh-CN"/>
              </w:rPr>
              <w:t>教育</w:t>
            </w:r>
            <w:r>
              <w:rPr>
                <w:rFonts w:hint="default" w:ascii="Times New Roman" w:hAnsi="Times New Roman" w:eastAsia="仿宋_GB2312" w:cs="Times New Roman"/>
                <w:sz w:val="24"/>
                <w:szCs w:val="24"/>
              </w:rPr>
              <w:t>质量标准纲要》（科大政发〔20</w:t>
            </w:r>
            <w:r>
              <w:rPr>
                <w:rFonts w:hint="default" w:ascii="Times New Roman" w:hAnsi="Times New Roman" w:eastAsia="仿宋_GB2312" w:cs="Times New Roman"/>
                <w:sz w:val="24"/>
                <w:szCs w:val="24"/>
                <w:lang w:val="en-US" w:eastAsia="zh-CN"/>
              </w:rPr>
              <w:t>20</w:t>
            </w: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lang w:val="en-US" w:eastAsia="zh-CN"/>
              </w:rPr>
              <w:t>03</w:t>
            </w:r>
            <w:r>
              <w:rPr>
                <w:rFonts w:hint="default" w:ascii="Times New Roman" w:hAnsi="Times New Roman" w:eastAsia="仿宋_GB2312" w:cs="Times New Roman"/>
                <w:sz w:val="24"/>
                <w:szCs w:val="24"/>
              </w:rPr>
              <w:t>号）</w:t>
            </w:r>
          </w:p>
        </w:tc>
        <w:tc>
          <w:tcPr>
            <w:tcW w:w="1276" w:type="dxa"/>
            <w:gridSpan w:val="2"/>
            <w:vAlign w:val="center"/>
          </w:tcPr>
          <w:p>
            <w:pPr>
              <w:spacing w:line="40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20</w:t>
            </w:r>
            <w:r>
              <w:rPr>
                <w:rFonts w:hint="default" w:ascii="Times New Roman" w:hAnsi="Times New Roman" w:eastAsia="仿宋_GB2312" w:cs="Times New Roman"/>
                <w:sz w:val="24"/>
                <w:szCs w:val="24"/>
                <w:lang w:val="en-US" w:eastAsia="zh-CN"/>
              </w:rPr>
              <w:t>20</w:t>
            </w:r>
            <w:r>
              <w:rPr>
                <w:rFonts w:hint="eastAsia" w:ascii="Times New Roman" w:hAnsi="Times New Roman" w:eastAsia="仿宋_GB2312" w:cs="Times New Roman"/>
                <w:sz w:val="24"/>
                <w:szCs w:val="24"/>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hint="default" w:ascii="Times New Roman" w:hAnsi="Times New Roman" w:eastAsia="仿宋_GB2312" w:cs="Times New Roman"/>
                <w:sz w:val="24"/>
                <w:szCs w:val="24"/>
              </w:rPr>
            </w:pPr>
          </w:p>
        </w:tc>
        <w:tc>
          <w:tcPr>
            <w:tcW w:w="708" w:type="dxa"/>
            <w:vAlign w:val="center"/>
          </w:tcPr>
          <w:p>
            <w:pPr>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5</w:t>
            </w:r>
          </w:p>
        </w:tc>
        <w:tc>
          <w:tcPr>
            <w:tcW w:w="4402" w:type="dxa"/>
            <w:gridSpan w:val="3"/>
            <w:vAlign w:val="top"/>
          </w:tcPr>
          <w:p>
            <w:pPr>
              <w:spacing w:line="400" w:lineRule="exact"/>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湖南科技大学本科教学质量与教学改革工程项目管理办法</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科大政发〔2020〕10号</w:t>
            </w:r>
            <w:r>
              <w:rPr>
                <w:rFonts w:hint="default" w:ascii="Times New Roman" w:hAnsi="Times New Roman" w:eastAsia="仿宋_GB2312" w:cs="Times New Roman"/>
                <w:sz w:val="24"/>
                <w:szCs w:val="24"/>
                <w:lang w:val="en-US" w:eastAsia="zh-CN"/>
              </w:rPr>
              <w:t>)</w:t>
            </w:r>
          </w:p>
        </w:tc>
        <w:tc>
          <w:tcPr>
            <w:tcW w:w="1276" w:type="dxa"/>
            <w:gridSpan w:val="2"/>
            <w:vAlign w:val="center"/>
          </w:tcPr>
          <w:p>
            <w:pPr>
              <w:spacing w:line="40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2020</w:t>
            </w:r>
            <w:r>
              <w:rPr>
                <w:rFonts w:hint="eastAsia" w:ascii="Times New Roman" w:hAnsi="Times New Roman" w:eastAsia="仿宋_GB2312" w:cs="Times New Roman"/>
                <w:sz w:val="24"/>
                <w:szCs w:val="24"/>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hint="default" w:ascii="Times New Roman" w:hAnsi="Times New Roman" w:eastAsia="仿宋_GB2312" w:cs="Times New Roman"/>
                <w:sz w:val="24"/>
                <w:szCs w:val="24"/>
              </w:rPr>
            </w:pPr>
          </w:p>
        </w:tc>
        <w:tc>
          <w:tcPr>
            <w:tcW w:w="708" w:type="dxa"/>
            <w:vAlign w:val="center"/>
          </w:tcPr>
          <w:p>
            <w:pPr>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6</w:t>
            </w:r>
          </w:p>
        </w:tc>
        <w:tc>
          <w:tcPr>
            <w:tcW w:w="4402" w:type="dxa"/>
            <w:gridSpan w:val="3"/>
            <w:vAlign w:val="top"/>
          </w:tcPr>
          <w:p>
            <w:pPr>
              <w:spacing w:line="400" w:lineRule="exact"/>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湖南科技大学学分制改革实施方案</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科大政发〔2020〕</w:t>
            </w:r>
            <w:r>
              <w:rPr>
                <w:rFonts w:hint="default" w:ascii="Times New Roman" w:hAnsi="Times New Roman" w:eastAsia="仿宋_GB2312" w:cs="Times New Roman"/>
                <w:sz w:val="24"/>
                <w:szCs w:val="24"/>
                <w:lang w:val="en-US" w:eastAsia="zh-CN"/>
              </w:rPr>
              <w:t>81</w:t>
            </w:r>
            <w:r>
              <w:rPr>
                <w:rFonts w:hint="default" w:ascii="Times New Roman" w:hAnsi="Times New Roman" w:eastAsia="仿宋_GB2312" w:cs="Times New Roman"/>
                <w:sz w:val="24"/>
                <w:szCs w:val="24"/>
              </w:rPr>
              <w:t>号</w:t>
            </w:r>
            <w:r>
              <w:rPr>
                <w:rFonts w:hint="default" w:ascii="Times New Roman" w:hAnsi="Times New Roman" w:eastAsia="仿宋_GB2312" w:cs="Times New Roman"/>
                <w:sz w:val="24"/>
                <w:szCs w:val="24"/>
                <w:lang w:val="en-US" w:eastAsia="zh-CN"/>
              </w:rPr>
              <w:t>)</w:t>
            </w:r>
          </w:p>
        </w:tc>
        <w:tc>
          <w:tcPr>
            <w:tcW w:w="1276" w:type="dxa"/>
            <w:gridSpan w:val="2"/>
            <w:vAlign w:val="center"/>
          </w:tcPr>
          <w:p>
            <w:pPr>
              <w:spacing w:line="40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2020</w:t>
            </w:r>
            <w:r>
              <w:rPr>
                <w:rFonts w:hint="eastAsia" w:ascii="Times New Roman" w:hAnsi="Times New Roman" w:eastAsia="仿宋_GB2312" w:cs="Times New Roman"/>
                <w:sz w:val="24"/>
                <w:szCs w:val="24"/>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hint="default" w:ascii="Times New Roman" w:hAnsi="Times New Roman" w:eastAsia="仿宋_GB2312" w:cs="Times New Roman"/>
                <w:sz w:val="24"/>
                <w:szCs w:val="24"/>
              </w:rPr>
            </w:pPr>
          </w:p>
        </w:tc>
        <w:tc>
          <w:tcPr>
            <w:tcW w:w="708" w:type="dxa"/>
            <w:vAlign w:val="center"/>
          </w:tcPr>
          <w:p>
            <w:pPr>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7</w:t>
            </w:r>
          </w:p>
        </w:tc>
        <w:tc>
          <w:tcPr>
            <w:tcW w:w="4402" w:type="dxa"/>
            <w:gridSpan w:val="3"/>
            <w:vAlign w:val="top"/>
          </w:tcPr>
          <w:p>
            <w:pPr>
              <w:spacing w:line="400" w:lineRule="exact"/>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湖南科技大学本科教学课堂管理办法</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科大校办发〔2019〕10号</w:t>
            </w:r>
            <w:r>
              <w:rPr>
                <w:rFonts w:hint="default" w:ascii="Times New Roman" w:hAnsi="Times New Roman" w:eastAsia="仿宋_GB2312" w:cs="Times New Roman"/>
                <w:sz w:val="24"/>
                <w:szCs w:val="24"/>
                <w:lang w:val="en-US" w:eastAsia="zh-CN"/>
              </w:rPr>
              <w:t>)</w:t>
            </w:r>
          </w:p>
        </w:tc>
        <w:tc>
          <w:tcPr>
            <w:tcW w:w="1276" w:type="dxa"/>
            <w:gridSpan w:val="2"/>
            <w:vAlign w:val="center"/>
          </w:tcPr>
          <w:p>
            <w:pPr>
              <w:spacing w:line="40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2019</w:t>
            </w:r>
            <w:r>
              <w:rPr>
                <w:rFonts w:hint="eastAsia" w:ascii="Times New Roman" w:hAnsi="Times New Roman" w:eastAsia="仿宋_GB2312" w:cs="Times New Roman"/>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hint="default" w:ascii="Times New Roman" w:hAnsi="Times New Roman" w:eastAsia="仿宋_GB2312" w:cs="Times New Roman"/>
                <w:sz w:val="24"/>
                <w:szCs w:val="24"/>
              </w:rPr>
            </w:pPr>
          </w:p>
        </w:tc>
        <w:tc>
          <w:tcPr>
            <w:tcW w:w="708" w:type="dxa"/>
            <w:vAlign w:val="center"/>
          </w:tcPr>
          <w:p>
            <w:pPr>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8</w:t>
            </w:r>
          </w:p>
        </w:tc>
        <w:tc>
          <w:tcPr>
            <w:tcW w:w="4402" w:type="dxa"/>
            <w:gridSpan w:val="3"/>
            <w:vAlign w:val="top"/>
          </w:tcPr>
          <w:p>
            <w:pPr>
              <w:spacing w:line="400" w:lineRule="exact"/>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湖南科技大学本科实践教学管理办法（科大政发〔20</w:t>
            </w:r>
            <w:r>
              <w:rPr>
                <w:rFonts w:hint="default" w:ascii="Times New Roman" w:hAnsi="Times New Roman" w:eastAsia="仿宋_GB2312" w:cs="Times New Roman"/>
                <w:sz w:val="24"/>
                <w:szCs w:val="24"/>
                <w:lang w:val="en-US" w:eastAsia="zh-CN"/>
              </w:rPr>
              <w:t>20</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94</w:t>
            </w:r>
            <w:r>
              <w:rPr>
                <w:rFonts w:hint="default" w:ascii="Times New Roman" w:hAnsi="Times New Roman" w:eastAsia="仿宋_GB2312" w:cs="Times New Roman"/>
                <w:sz w:val="24"/>
                <w:szCs w:val="24"/>
              </w:rPr>
              <w:t>号）</w:t>
            </w:r>
          </w:p>
        </w:tc>
        <w:tc>
          <w:tcPr>
            <w:tcW w:w="1276" w:type="dxa"/>
            <w:gridSpan w:val="2"/>
            <w:vAlign w:val="center"/>
          </w:tcPr>
          <w:p>
            <w:pPr>
              <w:spacing w:line="40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20</w:t>
            </w:r>
            <w:r>
              <w:rPr>
                <w:rFonts w:hint="default" w:ascii="Times New Roman" w:hAnsi="Times New Roman" w:eastAsia="仿宋_GB2312" w:cs="Times New Roman"/>
                <w:sz w:val="24"/>
                <w:szCs w:val="24"/>
                <w:lang w:val="en-US" w:eastAsia="zh-CN"/>
              </w:rPr>
              <w:t>20</w:t>
            </w:r>
            <w:r>
              <w:rPr>
                <w:rFonts w:hint="eastAsia" w:ascii="Times New Roman" w:hAnsi="Times New Roman" w:eastAsia="仿宋_GB2312" w:cs="Times New Roman"/>
                <w:sz w:val="24"/>
                <w:szCs w:val="24"/>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hint="default" w:ascii="Times New Roman" w:hAnsi="Times New Roman" w:eastAsia="仿宋_GB2312" w:cs="Times New Roman"/>
                <w:sz w:val="24"/>
                <w:szCs w:val="24"/>
              </w:rPr>
            </w:pPr>
          </w:p>
        </w:tc>
        <w:tc>
          <w:tcPr>
            <w:tcW w:w="708" w:type="dxa"/>
            <w:vAlign w:val="center"/>
          </w:tcPr>
          <w:p>
            <w:pPr>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9</w:t>
            </w:r>
          </w:p>
        </w:tc>
        <w:tc>
          <w:tcPr>
            <w:tcW w:w="4402" w:type="dxa"/>
            <w:gridSpan w:val="3"/>
            <w:vAlign w:val="top"/>
          </w:tcPr>
          <w:p>
            <w:pPr>
              <w:spacing w:line="400" w:lineRule="exact"/>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湖南科技大学“教学礼拜”主题活动实施纲要（修订）</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科大政发〔2019〕75号</w:t>
            </w:r>
            <w:r>
              <w:rPr>
                <w:rFonts w:hint="default" w:ascii="Times New Roman" w:hAnsi="Times New Roman" w:eastAsia="仿宋_GB2312" w:cs="Times New Roman"/>
                <w:sz w:val="24"/>
                <w:szCs w:val="24"/>
                <w:lang w:val="en-US" w:eastAsia="zh-CN"/>
              </w:rPr>
              <w:t>)</w:t>
            </w:r>
          </w:p>
        </w:tc>
        <w:tc>
          <w:tcPr>
            <w:tcW w:w="1276" w:type="dxa"/>
            <w:gridSpan w:val="2"/>
            <w:vAlign w:val="center"/>
          </w:tcPr>
          <w:p>
            <w:pPr>
              <w:spacing w:line="40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2019</w:t>
            </w:r>
            <w:r>
              <w:rPr>
                <w:rFonts w:hint="eastAsia" w:ascii="Times New Roman" w:hAnsi="Times New Roman" w:eastAsia="仿宋_GB2312" w:cs="Times New Roman"/>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hint="default" w:ascii="Times New Roman" w:hAnsi="Times New Roman" w:eastAsia="仿宋_GB2312" w:cs="Times New Roman"/>
                <w:sz w:val="24"/>
                <w:szCs w:val="24"/>
              </w:rPr>
            </w:pPr>
          </w:p>
        </w:tc>
        <w:tc>
          <w:tcPr>
            <w:tcW w:w="708" w:type="dxa"/>
            <w:vAlign w:val="center"/>
          </w:tcPr>
          <w:p>
            <w:pPr>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10</w:t>
            </w:r>
          </w:p>
        </w:tc>
        <w:tc>
          <w:tcPr>
            <w:tcW w:w="4402" w:type="dxa"/>
            <w:gridSpan w:val="3"/>
            <w:vAlign w:val="top"/>
          </w:tcPr>
          <w:p>
            <w:pPr>
              <w:spacing w:line="400" w:lineRule="exact"/>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湖南科技大学教学状态监控办法（科大政发〔2017〕148号）</w:t>
            </w:r>
          </w:p>
        </w:tc>
        <w:tc>
          <w:tcPr>
            <w:tcW w:w="1276" w:type="dxa"/>
            <w:gridSpan w:val="2"/>
            <w:vAlign w:val="center"/>
          </w:tcPr>
          <w:p>
            <w:pPr>
              <w:spacing w:line="40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2017</w:t>
            </w:r>
            <w:r>
              <w:rPr>
                <w:rFonts w:hint="eastAsia" w:ascii="Times New Roman" w:hAnsi="Times New Roman" w:eastAsia="仿宋_GB2312" w:cs="Times New Roman"/>
                <w:sz w:val="24"/>
                <w:szCs w:val="24"/>
                <w:lang w:val="en-US" w:eastAsia="zh-CN"/>
              </w:rPr>
              <w:t>-11</w:t>
            </w:r>
          </w:p>
        </w:tc>
      </w:tr>
    </w:tbl>
    <w:p>
      <w:pPr>
        <w:rPr>
          <w:rFonts w:ascii="黑体" w:hAnsi="黑体" w:eastAsia="黑体" w:cs="Times New Roman"/>
          <w:bCs/>
          <w:sz w:val="32"/>
          <w:szCs w:val="32"/>
        </w:rPr>
      </w:pPr>
      <w:r>
        <w:rPr>
          <w:rFonts w:ascii="黑体" w:hAnsi="黑体" w:eastAsia="黑体" w:cs="Times New Roman"/>
          <w:sz w:val="36"/>
          <w:szCs w:val="36"/>
        </w:rPr>
        <w:br w:type="page"/>
      </w:r>
      <w:r>
        <w:rPr>
          <w:rFonts w:hint="eastAsia" w:ascii="黑体" w:hAnsi="黑体" w:eastAsia="黑体" w:cs="Times New Roman"/>
          <w:sz w:val="32"/>
          <w:szCs w:val="32"/>
        </w:rPr>
        <w:t>二、</w:t>
      </w:r>
      <w:r>
        <w:rPr>
          <w:rFonts w:hint="eastAsia" w:ascii="黑体" w:hAnsi="黑体" w:eastAsia="黑体" w:cs="Times New Roman"/>
          <w:bCs/>
          <w:sz w:val="32"/>
          <w:szCs w:val="32"/>
        </w:rPr>
        <w:t>报送专业情况</w:t>
      </w:r>
    </w:p>
    <w:p>
      <w:pPr>
        <w:spacing w:line="360" w:lineRule="auto"/>
        <w:jc w:val="both"/>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1.专业基本情况</w:t>
      </w:r>
    </w:p>
    <w:tbl>
      <w:tblPr>
        <w:tblStyle w:val="5"/>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1735"/>
        <w:gridCol w:w="2453"/>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专业名称</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专业代码</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修业年限</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学位授予门类</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w:t>
            </w:r>
            <w:r>
              <w:rPr>
                <w:rFonts w:ascii="Times New Roman" w:hAnsi="Times New Roman" w:eastAsia="仿宋_GB2312" w:cs="Times New Roman"/>
                <w:sz w:val="24"/>
                <w:szCs w:val="24"/>
              </w:rPr>
              <w:t>设立</w:t>
            </w:r>
            <w:r>
              <w:rPr>
                <w:rFonts w:hint="eastAsia" w:ascii="Times New Roman" w:hAnsi="Times New Roman" w:eastAsia="仿宋_GB2312" w:cs="Times New Roman"/>
                <w:sz w:val="24"/>
                <w:szCs w:val="24"/>
              </w:rPr>
              <w:t>时间</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所在院系名称</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专业总学分</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专业总学时</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实践教学环节学分占总学分比例</w:t>
            </w:r>
          </w:p>
        </w:tc>
        <w:tc>
          <w:tcPr>
            <w:tcW w:w="4394" w:type="dxa"/>
            <w:gridSpan w:val="2"/>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本专业教授给本科生上课的比例</w:t>
            </w:r>
          </w:p>
        </w:tc>
        <w:tc>
          <w:tcPr>
            <w:tcW w:w="4394" w:type="dxa"/>
            <w:gridSpan w:val="2"/>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hint="eastAsia" w:ascii="Times New Roman" w:hAnsi="Times New Roman" w:eastAsia="仿宋_GB2312" w:cs="Times New Roman"/>
                <w:kern w:val="2"/>
                <w:sz w:val="24"/>
                <w:szCs w:val="24"/>
                <w:highlight w:val="red"/>
                <w:lang w:val="en-US" w:eastAsia="zh-CN" w:bidi="ar-SA"/>
              </w:rPr>
            </w:pPr>
            <w:r>
              <w:rPr>
                <w:rFonts w:hint="eastAsia" w:ascii="Times New Roman" w:hAnsi="Times New Roman" w:eastAsia="仿宋_GB2312" w:cs="Times New Roman"/>
                <w:sz w:val="24"/>
                <w:szCs w:val="24"/>
                <w:highlight w:val="none"/>
              </w:rPr>
              <w:t>是</w:t>
            </w:r>
            <w:r>
              <w:rPr>
                <w:rFonts w:ascii="Times New Roman" w:hAnsi="Times New Roman" w:eastAsia="仿宋_GB2312" w:cs="Times New Roman"/>
                <w:sz w:val="24"/>
                <w:szCs w:val="24"/>
                <w:highlight w:val="none"/>
              </w:rPr>
              <w:t>否已认定为省级一流专业建设点</w:t>
            </w:r>
          </w:p>
        </w:tc>
        <w:tc>
          <w:tcPr>
            <w:tcW w:w="4394" w:type="dxa"/>
            <w:gridSpan w:val="2"/>
            <w:vAlign w:val="center"/>
          </w:tcPr>
          <w:p>
            <w:pPr>
              <w:jc w:val="center"/>
              <w:rPr>
                <w:rFonts w:ascii="Times New Roman" w:hAnsi="Times New Roman" w:eastAsia="仿宋_GB2312" w:cs="Times New Roman"/>
                <w:kern w:val="2"/>
                <w:sz w:val="24"/>
                <w:szCs w:val="24"/>
                <w:highlight w:val="red"/>
                <w:lang w:val="en-US" w:eastAsia="zh-CN" w:bidi="ar-SA"/>
              </w:rPr>
            </w:pPr>
            <w:bookmarkStart w:id="2" w:name="_GoBack"/>
            <w:bookmarkEnd w:id="2"/>
          </w:p>
        </w:tc>
      </w:tr>
    </w:tbl>
    <w:p>
      <w:pPr>
        <w:rPr>
          <w:rFonts w:ascii="仿宋" w:hAnsi="仿宋" w:eastAsia="仿宋" w:cs="Times New Roman"/>
          <w:sz w:val="24"/>
          <w:szCs w:val="24"/>
        </w:rPr>
      </w:pPr>
      <w:r>
        <w:rPr>
          <w:rFonts w:ascii="仿宋" w:hAnsi="仿宋" w:eastAsia="仿宋" w:cs="Times New Roman"/>
          <w:sz w:val="24"/>
          <w:szCs w:val="24"/>
        </w:rPr>
        <w:t>注</w:t>
      </w:r>
      <w:r>
        <w:rPr>
          <w:rFonts w:hint="eastAsia" w:ascii="仿宋" w:hAnsi="仿宋" w:eastAsia="仿宋" w:cs="Times New Roman"/>
          <w:sz w:val="24"/>
          <w:szCs w:val="24"/>
        </w:rPr>
        <w:t>：以上数据填报口径为2</w:t>
      </w:r>
      <w:r>
        <w:rPr>
          <w:rFonts w:ascii="仿宋" w:hAnsi="仿宋" w:eastAsia="仿宋" w:cs="Times New Roman"/>
          <w:sz w:val="24"/>
          <w:szCs w:val="24"/>
        </w:rPr>
        <w:t>0</w:t>
      </w:r>
      <w:r>
        <w:rPr>
          <w:rFonts w:hint="eastAsia" w:ascii="仿宋" w:hAnsi="仿宋" w:eastAsia="仿宋" w:cs="Times New Roman"/>
          <w:sz w:val="24"/>
          <w:szCs w:val="24"/>
          <w:lang w:val="en-US" w:eastAsia="zh-CN"/>
        </w:rPr>
        <w:t>20</w:t>
      </w:r>
      <w:r>
        <w:rPr>
          <w:rFonts w:hint="eastAsia" w:ascii="仿宋" w:hAnsi="仿宋" w:eastAsia="仿宋" w:cs="Times New Roman"/>
          <w:sz w:val="24"/>
          <w:szCs w:val="24"/>
        </w:rPr>
        <w:t>-</w:t>
      </w:r>
      <w:r>
        <w:rPr>
          <w:rFonts w:ascii="仿宋" w:hAnsi="仿宋" w:eastAsia="仿宋" w:cs="Times New Roman"/>
          <w:sz w:val="24"/>
          <w:szCs w:val="24"/>
        </w:rPr>
        <w:t>20</w:t>
      </w:r>
      <w:r>
        <w:rPr>
          <w:rFonts w:hint="eastAsia" w:ascii="仿宋" w:hAnsi="仿宋" w:eastAsia="仿宋" w:cs="Times New Roman"/>
          <w:sz w:val="24"/>
          <w:szCs w:val="24"/>
        </w:rPr>
        <w:t>2</w:t>
      </w:r>
      <w:r>
        <w:rPr>
          <w:rFonts w:hint="eastAsia" w:ascii="仿宋" w:hAnsi="仿宋" w:eastAsia="仿宋" w:cs="Times New Roman"/>
          <w:sz w:val="24"/>
          <w:szCs w:val="24"/>
          <w:lang w:val="en-US" w:eastAsia="zh-CN"/>
        </w:rPr>
        <w:t>1</w:t>
      </w:r>
      <w:r>
        <w:rPr>
          <w:rFonts w:ascii="仿宋" w:hAnsi="仿宋" w:eastAsia="仿宋" w:cs="Times New Roman"/>
          <w:sz w:val="24"/>
          <w:szCs w:val="24"/>
        </w:rPr>
        <w:t>学年数据</w:t>
      </w:r>
      <w:r>
        <w:rPr>
          <w:rFonts w:hint="eastAsia" w:ascii="仿宋" w:hAnsi="仿宋" w:eastAsia="仿宋" w:cs="Times New Roman"/>
          <w:sz w:val="24"/>
          <w:szCs w:val="24"/>
        </w:rPr>
        <w:t>。</w:t>
      </w:r>
    </w:p>
    <w:p>
      <w:pPr>
        <w:spacing w:line="360" w:lineRule="auto"/>
        <w:jc w:val="both"/>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2.专业负责人基本情况</w:t>
      </w:r>
    </w:p>
    <w:tbl>
      <w:tblPr>
        <w:tblStyle w:val="5"/>
        <w:tblW w:w="495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8"/>
        <w:gridCol w:w="1633"/>
        <w:gridCol w:w="1342"/>
        <w:gridCol w:w="744"/>
        <w:gridCol w:w="1788"/>
        <w:gridCol w:w="744"/>
        <w:gridCol w:w="825"/>
        <w:gridCol w:w="8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33" w:type="pct"/>
            <w:tcBorders>
              <w:bottom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姓名</w:t>
            </w:r>
          </w:p>
        </w:tc>
        <w:tc>
          <w:tcPr>
            <w:tcW w:w="944" w:type="pct"/>
            <w:tcBorders>
              <w:bottom w:val="single" w:color="auto" w:sz="4" w:space="0"/>
            </w:tcBorders>
            <w:vAlign w:val="center"/>
          </w:tcPr>
          <w:p>
            <w:pPr>
              <w:jc w:val="center"/>
              <w:rPr>
                <w:rFonts w:ascii="Times New Roman" w:hAnsi="Times New Roman" w:eastAsia="仿宋_GB2312" w:cs="Times New Roman"/>
                <w:sz w:val="24"/>
                <w:szCs w:val="24"/>
              </w:rPr>
            </w:pPr>
          </w:p>
        </w:tc>
        <w:tc>
          <w:tcPr>
            <w:tcW w:w="776" w:type="pct"/>
            <w:vAlign w:val="center"/>
          </w:tcPr>
          <w:p>
            <w:pPr>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联系电话</w:t>
            </w:r>
          </w:p>
        </w:tc>
        <w:tc>
          <w:tcPr>
            <w:tcW w:w="430" w:type="pct"/>
            <w:vAlign w:val="center"/>
          </w:tcPr>
          <w:p>
            <w:pPr>
              <w:jc w:val="center"/>
              <w:rPr>
                <w:rFonts w:ascii="Times New Roman" w:hAnsi="Times New Roman" w:eastAsia="仿宋_GB2312" w:cs="Times New Roman"/>
                <w:sz w:val="24"/>
                <w:szCs w:val="24"/>
              </w:rPr>
            </w:pPr>
          </w:p>
        </w:tc>
        <w:tc>
          <w:tcPr>
            <w:tcW w:w="1034"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专业技术职务</w:t>
            </w:r>
          </w:p>
        </w:tc>
        <w:tc>
          <w:tcPr>
            <w:tcW w:w="430" w:type="pct"/>
            <w:vAlign w:val="center"/>
          </w:tcPr>
          <w:p>
            <w:pPr>
              <w:jc w:val="center"/>
              <w:rPr>
                <w:rFonts w:ascii="Times New Roman" w:hAnsi="Times New Roman" w:eastAsia="仿宋_GB2312" w:cs="Times New Roman"/>
                <w:sz w:val="24"/>
                <w:szCs w:val="24"/>
              </w:rPr>
            </w:pPr>
          </w:p>
        </w:tc>
        <w:tc>
          <w:tcPr>
            <w:tcW w:w="477"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学历</w:t>
            </w:r>
          </w:p>
        </w:tc>
        <w:tc>
          <w:tcPr>
            <w:tcW w:w="476" w:type="pct"/>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33" w:type="pct"/>
            <w:tcBorders>
              <w:top w:val="single" w:color="auto" w:sz="4" w:space="0"/>
              <w:bottom w:val="single" w:color="auto" w:sz="4" w:space="0"/>
            </w:tcBorders>
            <w:vAlign w:val="center"/>
          </w:tcPr>
          <w:p>
            <w:pPr>
              <w:jc w:val="center"/>
              <w:rPr>
                <w:rFonts w:hint="default" w:ascii="Times New Roman" w:hAnsi="Times New Roman" w:eastAsia="仿宋_GB2312" w:cs="Times New Roman"/>
                <w:sz w:val="24"/>
                <w:szCs w:val="24"/>
                <w:lang w:val="en-US" w:eastAsia="zh-CN"/>
              </w:rPr>
            </w:pPr>
            <w:r>
              <w:rPr>
                <w:rFonts w:ascii="Times New Roman" w:hAnsi="Times New Roman" w:eastAsia="仿宋_GB2312" w:cs="Times New Roman"/>
                <w:sz w:val="24"/>
                <w:szCs w:val="24"/>
              </w:rPr>
              <w:t>性别</w:t>
            </w:r>
          </w:p>
        </w:tc>
        <w:tc>
          <w:tcPr>
            <w:tcW w:w="944" w:type="pct"/>
            <w:tcBorders>
              <w:top w:val="single" w:color="auto" w:sz="4" w:space="0"/>
              <w:bottom w:val="single" w:color="auto" w:sz="4" w:space="0"/>
            </w:tcBorders>
            <w:vAlign w:val="center"/>
          </w:tcPr>
          <w:p>
            <w:pPr>
              <w:jc w:val="center"/>
              <w:rPr>
                <w:rFonts w:ascii="Times New Roman" w:hAnsi="Times New Roman" w:eastAsia="仿宋_GB2312" w:cs="Times New Roman"/>
                <w:sz w:val="24"/>
                <w:szCs w:val="24"/>
              </w:rPr>
            </w:pPr>
          </w:p>
        </w:tc>
        <w:tc>
          <w:tcPr>
            <w:tcW w:w="776"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出生年月</w:t>
            </w:r>
          </w:p>
        </w:tc>
        <w:tc>
          <w:tcPr>
            <w:tcW w:w="430" w:type="pct"/>
            <w:vAlign w:val="center"/>
          </w:tcPr>
          <w:p>
            <w:pPr>
              <w:jc w:val="center"/>
              <w:rPr>
                <w:rFonts w:ascii="Times New Roman" w:hAnsi="Times New Roman" w:eastAsia="仿宋_GB2312" w:cs="Times New Roman"/>
                <w:sz w:val="24"/>
                <w:szCs w:val="24"/>
              </w:rPr>
            </w:pPr>
          </w:p>
        </w:tc>
        <w:tc>
          <w:tcPr>
            <w:tcW w:w="1034"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行政职务</w:t>
            </w:r>
          </w:p>
        </w:tc>
        <w:tc>
          <w:tcPr>
            <w:tcW w:w="430" w:type="pct"/>
            <w:vAlign w:val="center"/>
          </w:tcPr>
          <w:p>
            <w:pPr>
              <w:jc w:val="center"/>
              <w:rPr>
                <w:rFonts w:ascii="Times New Roman" w:hAnsi="Times New Roman" w:eastAsia="仿宋_GB2312" w:cs="Times New Roman"/>
                <w:sz w:val="24"/>
                <w:szCs w:val="24"/>
              </w:rPr>
            </w:pPr>
          </w:p>
        </w:tc>
        <w:tc>
          <w:tcPr>
            <w:tcW w:w="477"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w:t>
            </w:r>
          </w:p>
        </w:tc>
        <w:tc>
          <w:tcPr>
            <w:tcW w:w="476" w:type="pct"/>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8" w:hRule="atLeast"/>
          <w:jc w:val="center"/>
        </w:trPr>
        <w:tc>
          <w:tcPr>
            <w:tcW w:w="1377" w:type="pct"/>
            <w:gridSpan w:val="2"/>
            <w:tcBorders>
              <w:top w:val="single" w:color="auto" w:sz="4" w:space="0"/>
            </w:tcBorders>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研究方向和近三年</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主讲的本科课程</w:t>
            </w:r>
          </w:p>
        </w:tc>
        <w:tc>
          <w:tcPr>
            <w:tcW w:w="3623" w:type="pct"/>
            <w:gridSpan w:val="6"/>
            <w:vAlign w:val="center"/>
          </w:tcPr>
          <w:p>
            <w:pPr>
              <w:jc w:val="left"/>
              <w:rPr>
                <w:rFonts w:ascii="Times New Roman" w:hAnsi="Times New Roman" w:eastAsia="仿宋_GB2312" w:cs="Times New Roman"/>
                <w:sz w:val="24"/>
                <w:szCs w:val="24"/>
              </w:rPr>
            </w:pPr>
          </w:p>
        </w:tc>
      </w:tr>
    </w:tbl>
    <w:p>
      <w:pPr>
        <w:spacing w:line="360" w:lineRule="auto"/>
        <w:jc w:val="both"/>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3.近3年本专业毕业生就业（升学）情况</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1350"/>
        <w:gridCol w:w="1620"/>
        <w:gridCol w:w="1620"/>
        <w:gridCol w:w="1350"/>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年份</w:t>
            </w:r>
          </w:p>
        </w:tc>
        <w:tc>
          <w:tcPr>
            <w:tcW w:w="774"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毕业生</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929"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境内升学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929"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境外升学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774"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就业人数</w:t>
            </w:r>
          </w:p>
        </w:tc>
        <w:tc>
          <w:tcPr>
            <w:tcW w:w="951"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自主创业</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w:t>
            </w:r>
            <w:r>
              <w:rPr>
                <w:rFonts w:hint="eastAsia" w:ascii="Times New Roman" w:hAnsi="Times New Roman" w:eastAsia="仿宋_GB2312" w:cs="Times New Roman"/>
                <w:sz w:val="24"/>
                <w:szCs w:val="24"/>
                <w:lang w:val="en-US" w:eastAsia="zh-CN"/>
              </w:rPr>
              <w:t>20</w:t>
            </w:r>
            <w:r>
              <w:rPr>
                <w:rFonts w:hint="eastAsia" w:ascii="Times New Roman" w:hAnsi="Times New Roman" w:eastAsia="仿宋_GB2312" w:cs="Times New Roman"/>
                <w:sz w:val="24"/>
                <w:szCs w:val="24"/>
              </w:rPr>
              <w:t>年</w:t>
            </w: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5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w:t>
            </w:r>
            <w:r>
              <w:rPr>
                <w:rFonts w:hint="eastAsia" w:ascii="Times New Roman" w:hAnsi="Times New Roman" w:eastAsia="仿宋_GB2312" w:cs="Times New Roman"/>
                <w:sz w:val="24"/>
                <w:szCs w:val="24"/>
                <w:lang w:val="en-US" w:eastAsia="zh-CN"/>
              </w:rPr>
              <w:t>9</w:t>
            </w:r>
            <w:r>
              <w:rPr>
                <w:rFonts w:hint="eastAsia" w:ascii="Times New Roman" w:hAnsi="Times New Roman" w:eastAsia="仿宋_GB2312" w:cs="Times New Roman"/>
                <w:sz w:val="24"/>
                <w:szCs w:val="24"/>
              </w:rPr>
              <w:t>年</w:t>
            </w: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5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w:t>
            </w:r>
            <w:r>
              <w:rPr>
                <w:rFonts w:hint="eastAsia" w:ascii="Times New Roman" w:hAnsi="Times New Roman" w:eastAsia="仿宋_GB2312" w:cs="Times New Roman"/>
                <w:sz w:val="24"/>
                <w:szCs w:val="24"/>
                <w:lang w:val="en-US" w:eastAsia="zh-CN"/>
              </w:rPr>
              <w:t>8</w:t>
            </w:r>
            <w:r>
              <w:rPr>
                <w:rFonts w:hint="eastAsia" w:ascii="Times New Roman" w:hAnsi="Times New Roman" w:eastAsia="仿宋_GB2312" w:cs="Times New Roman"/>
                <w:sz w:val="24"/>
                <w:szCs w:val="24"/>
              </w:rPr>
              <w:t>年</w:t>
            </w: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51" w:type="pct"/>
            <w:vAlign w:val="center"/>
          </w:tcPr>
          <w:p>
            <w:pPr>
              <w:jc w:val="center"/>
              <w:rPr>
                <w:rFonts w:ascii="Times New Roman" w:hAnsi="Times New Roman" w:eastAsia="仿宋_GB2312" w:cs="Times New Roman"/>
                <w:sz w:val="24"/>
                <w:szCs w:val="24"/>
              </w:rPr>
            </w:pPr>
          </w:p>
        </w:tc>
      </w:tr>
    </w:tbl>
    <w:p>
      <w:pPr>
        <w:spacing w:line="360" w:lineRule="auto"/>
        <w:jc w:val="both"/>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4.近3年本专业获省部级及以上奖励和支持情况</w:t>
      </w:r>
    </w:p>
    <w:tbl>
      <w:tblPr>
        <w:tblStyle w:val="5"/>
        <w:tblW w:w="47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1"/>
        <w:gridCol w:w="827"/>
        <w:gridCol w:w="1207"/>
        <w:gridCol w:w="1723"/>
        <w:gridCol w:w="850"/>
        <w:gridCol w:w="7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exact"/>
        </w:trPr>
        <w:tc>
          <w:tcPr>
            <w:tcW w:w="977"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类别</w:t>
            </w: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727"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项目名称</w:t>
            </w:r>
          </w:p>
        </w:tc>
        <w:tc>
          <w:tcPr>
            <w:tcW w:w="103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所获奖励或支持名称</w:t>
            </w:r>
          </w:p>
        </w:tc>
        <w:tc>
          <w:tcPr>
            <w:tcW w:w="512"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时间</w:t>
            </w:r>
          </w:p>
        </w:tc>
        <w:tc>
          <w:tcPr>
            <w:tcW w:w="473" w:type="pct"/>
            <w:vAlign w:val="center"/>
          </w:tcPr>
          <w:p>
            <w:pPr>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rPr>
              <w:t>等级</w:t>
            </w:r>
            <w:r>
              <w:rPr>
                <w:rFonts w:hint="eastAsia" w:ascii="Times New Roman" w:hAnsi="Times New Roman" w:eastAsia="仿宋_GB2312" w:cs="Times New Roman"/>
                <w:sz w:val="24"/>
                <w:szCs w:val="24"/>
                <w:lang w:val="en-US" w:eastAsia="zh-CN"/>
              </w:rPr>
              <w:t>/级别</w:t>
            </w:r>
          </w:p>
        </w:tc>
        <w:tc>
          <w:tcPr>
            <w:tcW w:w="771"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授予部门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977"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教学成果奖</w:t>
            </w: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977"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CellMar>
            <w:top w:w="0" w:type="dxa"/>
            <w:left w:w="108" w:type="dxa"/>
            <w:bottom w:w="0" w:type="dxa"/>
            <w:right w:w="108" w:type="dxa"/>
          </w:tblCellMar>
        </w:tblPrEx>
        <w:trPr>
          <w:cantSplit/>
          <w:trHeight w:val="425" w:hRule="exact"/>
        </w:trPr>
        <w:tc>
          <w:tcPr>
            <w:tcW w:w="977"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exact"/>
        </w:trPr>
        <w:tc>
          <w:tcPr>
            <w:tcW w:w="977" w:type="pct"/>
            <w:vMerge w:val="restart"/>
            <w:vAlign w:val="center"/>
          </w:tcPr>
          <w:p>
            <w:pPr>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rPr>
              <w:t>教学</w:t>
            </w:r>
            <w:r>
              <w:rPr>
                <w:rFonts w:hint="eastAsia" w:ascii="Times New Roman" w:hAnsi="Times New Roman" w:eastAsia="仿宋_GB2312" w:cs="Times New Roman"/>
                <w:sz w:val="24"/>
                <w:szCs w:val="24"/>
                <w:lang w:val="en-US" w:eastAsia="zh-CN"/>
              </w:rPr>
              <w:t>团队建设</w:t>
            </w: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CellMar>
            <w:top w:w="0" w:type="dxa"/>
            <w:left w:w="108" w:type="dxa"/>
            <w:bottom w:w="0" w:type="dxa"/>
            <w:right w:w="108" w:type="dxa"/>
          </w:tblCellMar>
        </w:tblPrEx>
        <w:trPr>
          <w:cantSplit/>
          <w:trHeight w:val="425" w:hRule="exact"/>
        </w:trPr>
        <w:tc>
          <w:tcPr>
            <w:tcW w:w="977"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977"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CellMar>
            <w:top w:w="0" w:type="dxa"/>
            <w:left w:w="108" w:type="dxa"/>
            <w:bottom w:w="0" w:type="dxa"/>
            <w:right w:w="108" w:type="dxa"/>
          </w:tblCellMar>
        </w:tblPrEx>
        <w:trPr>
          <w:cantSplit/>
          <w:trHeight w:val="425" w:hRule="exact"/>
        </w:trPr>
        <w:tc>
          <w:tcPr>
            <w:tcW w:w="977"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widowControl/>
              <w:spacing w:before="100" w:beforeAutospacing="1" w:after="100" w:afterAutospacing="1" w:line="360" w:lineRule="atLeas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rPr>
          <w:cantSplit/>
          <w:trHeight w:val="425" w:hRule="exact"/>
        </w:trPr>
        <w:tc>
          <w:tcPr>
            <w:tcW w:w="977"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widowControl/>
              <w:spacing w:before="100" w:beforeAutospacing="1" w:after="100" w:afterAutospacing="1" w:line="360" w:lineRule="atLeas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CellMar>
            <w:top w:w="0" w:type="dxa"/>
            <w:left w:w="108" w:type="dxa"/>
            <w:bottom w:w="0" w:type="dxa"/>
            <w:right w:w="108" w:type="dxa"/>
          </w:tblCellMar>
        </w:tblPrEx>
        <w:trPr>
          <w:cantSplit/>
          <w:trHeight w:val="425" w:hRule="exact"/>
        </w:trPr>
        <w:tc>
          <w:tcPr>
            <w:tcW w:w="977"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专业建设</w:t>
            </w: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977"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CellMar>
            <w:top w:w="0" w:type="dxa"/>
            <w:left w:w="108" w:type="dxa"/>
            <w:bottom w:w="0" w:type="dxa"/>
            <w:right w:w="108" w:type="dxa"/>
          </w:tblCellMar>
        </w:tblPrEx>
        <w:trPr>
          <w:cantSplit/>
          <w:trHeight w:val="425" w:hRule="exact"/>
        </w:trPr>
        <w:tc>
          <w:tcPr>
            <w:tcW w:w="977"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977"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课程</w:t>
            </w:r>
          </w:p>
        </w:tc>
        <w:tc>
          <w:tcPr>
            <w:tcW w:w="498" w:type="pct"/>
            <w:vAlign w:val="center"/>
          </w:tcPr>
          <w:p>
            <w:pPr>
              <w:widowControl/>
              <w:spacing w:before="100" w:beforeAutospacing="1" w:after="100" w:afterAutospacing="1" w:line="360" w:lineRule="atLeas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rPr>
              <w:t>1</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CellMar>
            <w:top w:w="0" w:type="dxa"/>
            <w:left w:w="108" w:type="dxa"/>
            <w:bottom w:w="0" w:type="dxa"/>
            <w:right w:w="108" w:type="dxa"/>
          </w:tblCellMar>
        </w:tblPrEx>
        <w:trPr>
          <w:cantSplit/>
          <w:trHeight w:val="425" w:hRule="exact"/>
        </w:trPr>
        <w:tc>
          <w:tcPr>
            <w:tcW w:w="977"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widowControl/>
              <w:spacing w:before="100" w:beforeAutospacing="1" w:after="100" w:afterAutospacing="1" w:line="360" w:lineRule="atLeas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rPr>
              <w:t>2</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rPr>
          <w:cantSplit/>
          <w:trHeight w:val="425" w:hRule="exact"/>
        </w:trPr>
        <w:tc>
          <w:tcPr>
            <w:tcW w:w="977"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widowControl/>
              <w:spacing w:before="100" w:beforeAutospacing="1" w:after="100" w:afterAutospacing="1" w:line="360" w:lineRule="atLeas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rPr>
          <w:cantSplit/>
          <w:trHeight w:val="425" w:hRule="exact"/>
        </w:trPr>
        <w:tc>
          <w:tcPr>
            <w:tcW w:w="977" w:type="pct"/>
            <w:vMerge w:val="restart"/>
            <w:vAlign w:val="center"/>
          </w:tcPr>
          <w:p>
            <w:pPr>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教材</w:t>
            </w:r>
          </w:p>
        </w:tc>
        <w:tc>
          <w:tcPr>
            <w:tcW w:w="498" w:type="pct"/>
            <w:vAlign w:val="center"/>
          </w:tcPr>
          <w:p>
            <w:pPr>
              <w:spacing w:beforeLines="20"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spacing w:beforeLines="20" w:afterLines="20"/>
              <w:rPr>
                <w:rFonts w:ascii="Times New Roman" w:hAnsi="Times New Roman" w:eastAsia="仿宋_GB2312" w:cs="Times New Roman"/>
                <w:sz w:val="24"/>
                <w:szCs w:val="24"/>
              </w:rPr>
            </w:pPr>
          </w:p>
        </w:tc>
        <w:tc>
          <w:tcPr>
            <w:tcW w:w="1038" w:type="pct"/>
            <w:vAlign w:val="center"/>
          </w:tcPr>
          <w:p>
            <w:pPr>
              <w:spacing w:beforeLines="20" w:afterLines="2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977" w:type="pct"/>
            <w:vMerge w:val="continue"/>
            <w:vAlign w:val="center"/>
          </w:tcPr>
          <w:p>
            <w:pPr>
              <w:jc w:val="center"/>
              <w:rPr>
                <w:rFonts w:hint="eastAsia" w:ascii="Times New Roman" w:hAnsi="Times New Roman" w:eastAsia="仿宋_GB2312" w:cs="Times New Roman"/>
                <w:sz w:val="24"/>
                <w:szCs w:val="24"/>
                <w:lang w:val="en-US" w:eastAsia="zh-CN"/>
              </w:rPr>
            </w:pPr>
          </w:p>
        </w:tc>
        <w:tc>
          <w:tcPr>
            <w:tcW w:w="498" w:type="pct"/>
            <w:vAlign w:val="center"/>
          </w:tcPr>
          <w:p>
            <w:pPr>
              <w:spacing w:beforeLines="20" w:afterLines="20"/>
              <w:jc w:val="center"/>
              <w:rPr>
                <w:rFonts w:hint="eastAsia" w:ascii="Times New Roman" w:hAnsi="Times New Roman" w:eastAsia="仿宋_GB2312" w:cs="Times New Roman"/>
                <w:sz w:val="24"/>
                <w:szCs w:val="24"/>
              </w:rPr>
            </w:pPr>
          </w:p>
        </w:tc>
        <w:tc>
          <w:tcPr>
            <w:tcW w:w="727" w:type="pct"/>
            <w:vAlign w:val="center"/>
          </w:tcPr>
          <w:p>
            <w:pPr>
              <w:spacing w:beforeLines="20" w:afterLines="20"/>
              <w:rPr>
                <w:rFonts w:ascii="Times New Roman" w:hAnsi="Times New Roman" w:eastAsia="仿宋_GB2312" w:cs="Times New Roman"/>
                <w:sz w:val="24"/>
                <w:szCs w:val="24"/>
              </w:rPr>
            </w:pPr>
          </w:p>
        </w:tc>
        <w:tc>
          <w:tcPr>
            <w:tcW w:w="1038" w:type="pct"/>
            <w:vAlign w:val="center"/>
          </w:tcPr>
          <w:p>
            <w:pPr>
              <w:spacing w:beforeLines="20" w:afterLines="2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977"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spacing w:beforeLines="20"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spacing w:beforeLines="20" w:afterLines="20"/>
              <w:rPr>
                <w:rFonts w:ascii="Times New Roman" w:hAnsi="Times New Roman" w:eastAsia="仿宋_GB2312" w:cs="Times New Roman"/>
                <w:sz w:val="24"/>
                <w:szCs w:val="24"/>
              </w:rPr>
            </w:pPr>
          </w:p>
        </w:tc>
        <w:tc>
          <w:tcPr>
            <w:tcW w:w="1038" w:type="pct"/>
            <w:vAlign w:val="center"/>
          </w:tcPr>
          <w:p>
            <w:pPr>
              <w:spacing w:beforeLines="20" w:afterLines="2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977"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spacing w:beforeLines="20"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spacing w:beforeLines="20" w:afterLines="20"/>
              <w:rPr>
                <w:rFonts w:ascii="Times New Roman" w:hAnsi="Times New Roman" w:eastAsia="仿宋_GB2312" w:cs="Times New Roman"/>
                <w:sz w:val="24"/>
                <w:szCs w:val="24"/>
              </w:rPr>
            </w:pPr>
          </w:p>
        </w:tc>
        <w:tc>
          <w:tcPr>
            <w:tcW w:w="1038" w:type="pct"/>
            <w:vAlign w:val="center"/>
          </w:tcPr>
          <w:p>
            <w:pPr>
              <w:spacing w:beforeLines="20" w:afterLines="2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CellMar>
            <w:top w:w="0" w:type="dxa"/>
            <w:left w:w="108" w:type="dxa"/>
            <w:bottom w:w="0" w:type="dxa"/>
            <w:right w:w="108" w:type="dxa"/>
          </w:tblCellMar>
        </w:tblPrEx>
        <w:trPr>
          <w:cantSplit/>
          <w:trHeight w:val="425" w:hRule="exact"/>
        </w:trPr>
        <w:tc>
          <w:tcPr>
            <w:tcW w:w="977"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实验和实践</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教学平台</w:t>
            </w: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CellMar>
            <w:top w:w="0" w:type="dxa"/>
            <w:left w:w="108" w:type="dxa"/>
            <w:bottom w:w="0" w:type="dxa"/>
            <w:right w:w="108" w:type="dxa"/>
          </w:tblCellMar>
        </w:tblPrEx>
        <w:trPr>
          <w:cantSplit/>
          <w:trHeight w:val="425" w:hRule="exact"/>
        </w:trPr>
        <w:tc>
          <w:tcPr>
            <w:tcW w:w="977"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CellMar>
            <w:top w:w="0" w:type="dxa"/>
            <w:left w:w="108" w:type="dxa"/>
            <w:bottom w:w="0" w:type="dxa"/>
            <w:right w:w="108" w:type="dxa"/>
          </w:tblCellMar>
        </w:tblPrEx>
        <w:trPr>
          <w:cantSplit/>
          <w:trHeight w:val="425" w:hRule="exact"/>
        </w:trPr>
        <w:tc>
          <w:tcPr>
            <w:tcW w:w="977"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CellMar>
            <w:top w:w="0" w:type="dxa"/>
            <w:left w:w="108" w:type="dxa"/>
            <w:bottom w:w="0" w:type="dxa"/>
            <w:right w:w="108" w:type="dxa"/>
          </w:tblCellMar>
        </w:tblPrEx>
        <w:trPr>
          <w:cantSplit/>
          <w:trHeight w:val="425" w:hRule="exact"/>
        </w:trPr>
        <w:tc>
          <w:tcPr>
            <w:tcW w:w="977"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教学改革项目</w:t>
            </w:r>
          </w:p>
        </w:tc>
        <w:tc>
          <w:tcPr>
            <w:tcW w:w="498" w:type="pct"/>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spacing w:beforeLines="30" w:afterLines="30"/>
              <w:rPr>
                <w:rFonts w:ascii="Times New Roman" w:hAnsi="Times New Roman" w:eastAsia="仿宋_GB2312" w:cs="Times New Roman"/>
                <w:sz w:val="24"/>
                <w:szCs w:val="24"/>
              </w:rPr>
            </w:pPr>
          </w:p>
        </w:tc>
        <w:tc>
          <w:tcPr>
            <w:tcW w:w="1038" w:type="pct"/>
            <w:vAlign w:val="center"/>
          </w:tcPr>
          <w:p>
            <w:pPr>
              <w:spacing w:beforeLines="30" w:afterLines="3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977" w:type="pct"/>
            <w:vMerge w:val="continue"/>
            <w:vAlign w:val="center"/>
          </w:tcPr>
          <w:p>
            <w:pPr>
              <w:jc w:val="center"/>
              <w:rPr>
                <w:rFonts w:ascii="Times New Roman" w:hAnsi="Times New Roman" w:eastAsia="仿宋_GB2312" w:cs="Times New Roman"/>
                <w:sz w:val="24"/>
                <w:szCs w:val="24"/>
              </w:rPr>
            </w:pPr>
          </w:p>
        </w:tc>
        <w:tc>
          <w:tcPr>
            <w:tcW w:w="498" w:type="pct"/>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spacing w:beforeLines="30" w:afterLines="30"/>
              <w:rPr>
                <w:rFonts w:ascii="Times New Roman" w:hAnsi="Times New Roman" w:eastAsia="仿宋_GB2312" w:cs="Times New Roman"/>
                <w:sz w:val="24"/>
                <w:szCs w:val="24"/>
              </w:rPr>
            </w:pPr>
          </w:p>
        </w:tc>
        <w:tc>
          <w:tcPr>
            <w:tcW w:w="1038" w:type="pct"/>
            <w:vAlign w:val="center"/>
          </w:tcPr>
          <w:p>
            <w:pPr>
              <w:spacing w:beforeLines="30" w:afterLines="3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977"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CellMar>
            <w:top w:w="0" w:type="dxa"/>
            <w:left w:w="108" w:type="dxa"/>
            <w:bottom w:w="0" w:type="dxa"/>
            <w:right w:w="108" w:type="dxa"/>
          </w:tblCellMar>
        </w:tblPrEx>
        <w:trPr>
          <w:cantSplit/>
          <w:trHeight w:val="425" w:hRule="exact"/>
        </w:trPr>
        <w:tc>
          <w:tcPr>
            <w:tcW w:w="977" w:type="pct"/>
            <w:vMerge w:val="restart"/>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w:t>
            </w:r>
          </w:p>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（限5</w:t>
            </w: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项）</w:t>
            </w:r>
          </w:p>
        </w:tc>
        <w:tc>
          <w:tcPr>
            <w:tcW w:w="498" w:type="pct"/>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spacing w:beforeLines="30" w:afterLines="30"/>
              <w:rPr>
                <w:rFonts w:ascii="Times New Roman" w:hAnsi="Times New Roman" w:eastAsia="仿宋_GB2312" w:cs="Times New Roman"/>
                <w:sz w:val="24"/>
                <w:szCs w:val="24"/>
              </w:rPr>
            </w:pPr>
          </w:p>
        </w:tc>
        <w:tc>
          <w:tcPr>
            <w:tcW w:w="1038" w:type="pct"/>
            <w:vAlign w:val="center"/>
          </w:tcPr>
          <w:p>
            <w:pPr>
              <w:spacing w:beforeLines="30" w:afterLines="30"/>
              <w:rPr>
                <w:rFonts w:ascii="Times New Roman" w:hAnsi="Times New Roman" w:eastAsia="仿宋_GB2312" w:cs="Times New Roman"/>
                <w:sz w:val="24"/>
                <w:szCs w:val="24"/>
              </w:rPr>
            </w:pPr>
          </w:p>
        </w:tc>
        <w:tc>
          <w:tcPr>
            <w:tcW w:w="512" w:type="pct"/>
            <w:vAlign w:val="center"/>
          </w:tcPr>
          <w:p>
            <w:pPr>
              <w:spacing w:beforeLines="30" w:afterLines="30"/>
              <w:rPr>
                <w:rFonts w:ascii="Times New Roman" w:hAnsi="Times New Roman" w:eastAsia="仿宋_GB2312" w:cs="Times New Roman"/>
                <w:sz w:val="24"/>
                <w:szCs w:val="24"/>
              </w:rPr>
            </w:pPr>
          </w:p>
        </w:tc>
        <w:tc>
          <w:tcPr>
            <w:tcW w:w="473" w:type="pct"/>
            <w:vAlign w:val="center"/>
          </w:tcPr>
          <w:p>
            <w:pPr>
              <w:spacing w:beforeLines="30" w:afterLines="30"/>
              <w:rPr>
                <w:rFonts w:ascii="Times New Roman" w:hAnsi="Times New Roman" w:eastAsia="仿宋_GB2312" w:cs="Times New Roman"/>
                <w:sz w:val="24"/>
                <w:szCs w:val="24"/>
              </w:rPr>
            </w:pPr>
          </w:p>
        </w:tc>
        <w:tc>
          <w:tcPr>
            <w:tcW w:w="771" w:type="pct"/>
            <w:vAlign w:val="center"/>
          </w:tcPr>
          <w:p>
            <w:pPr>
              <w:spacing w:beforeLines="30"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exact"/>
        </w:trPr>
        <w:tc>
          <w:tcPr>
            <w:tcW w:w="977" w:type="pct"/>
            <w:vMerge w:val="continue"/>
            <w:vAlign w:val="center"/>
          </w:tcPr>
          <w:p>
            <w:pPr>
              <w:spacing w:beforeLines="30" w:afterLines="30"/>
              <w:rPr>
                <w:rFonts w:ascii="Times New Roman" w:hAnsi="Times New Roman" w:eastAsia="仿宋_GB2312" w:cs="Times New Roman"/>
                <w:sz w:val="24"/>
                <w:szCs w:val="24"/>
              </w:rPr>
            </w:pPr>
          </w:p>
        </w:tc>
        <w:tc>
          <w:tcPr>
            <w:tcW w:w="498" w:type="pct"/>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spacing w:beforeLines="30" w:afterLines="30"/>
              <w:rPr>
                <w:rFonts w:ascii="Times New Roman" w:hAnsi="Times New Roman" w:eastAsia="仿宋_GB2312" w:cs="Times New Roman"/>
                <w:sz w:val="24"/>
                <w:szCs w:val="24"/>
              </w:rPr>
            </w:pPr>
          </w:p>
        </w:tc>
        <w:tc>
          <w:tcPr>
            <w:tcW w:w="1038" w:type="pct"/>
            <w:vAlign w:val="center"/>
          </w:tcPr>
          <w:p>
            <w:pPr>
              <w:spacing w:beforeLines="30" w:afterLines="30"/>
              <w:rPr>
                <w:rFonts w:ascii="Times New Roman" w:hAnsi="Times New Roman" w:eastAsia="仿宋_GB2312" w:cs="Times New Roman"/>
                <w:sz w:val="24"/>
                <w:szCs w:val="24"/>
              </w:rPr>
            </w:pPr>
          </w:p>
        </w:tc>
        <w:tc>
          <w:tcPr>
            <w:tcW w:w="512" w:type="pct"/>
            <w:vAlign w:val="center"/>
          </w:tcPr>
          <w:p>
            <w:pPr>
              <w:spacing w:beforeLines="30" w:afterLines="30"/>
              <w:rPr>
                <w:rFonts w:ascii="Times New Roman" w:hAnsi="Times New Roman" w:eastAsia="仿宋_GB2312" w:cs="Times New Roman"/>
                <w:sz w:val="24"/>
                <w:szCs w:val="24"/>
              </w:rPr>
            </w:pPr>
          </w:p>
        </w:tc>
        <w:tc>
          <w:tcPr>
            <w:tcW w:w="473" w:type="pct"/>
            <w:vAlign w:val="center"/>
          </w:tcPr>
          <w:p>
            <w:pPr>
              <w:spacing w:beforeLines="30" w:afterLines="30"/>
              <w:rPr>
                <w:rFonts w:ascii="Times New Roman" w:hAnsi="Times New Roman" w:eastAsia="仿宋_GB2312" w:cs="Times New Roman"/>
                <w:sz w:val="24"/>
                <w:szCs w:val="24"/>
              </w:rPr>
            </w:pPr>
          </w:p>
        </w:tc>
        <w:tc>
          <w:tcPr>
            <w:tcW w:w="771" w:type="pct"/>
            <w:vAlign w:val="center"/>
          </w:tcPr>
          <w:p>
            <w:pPr>
              <w:spacing w:beforeLines="30"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977" w:type="pct"/>
            <w:vMerge w:val="continue"/>
            <w:vAlign w:val="center"/>
          </w:tcPr>
          <w:p>
            <w:pPr>
              <w:spacing w:beforeLines="30" w:afterLines="30"/>
              <w:rPr>
                <w:rFonts w:ascii="Times New Roman" w:hAnsi="Times New Roman" w:eastAsia="仿宋_GB2312" w:cs="Times New Roman"/>
                <w:sz w:val="24"/>
                <w:szCs w:val="24"/>
              </w:rPr>
            </w:pPr>
          </w:p>
        </w:tc>
        <w:tc>
          <w:tcPr>
            <w:tcW w:w="498" w:type="pct"/>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spacing w:beforeLines="30" w:afterLines="30"/>
              <w:rPr>
                <w:rFonts w:ascii="Times New Roman" w:hAnsi="Times New Roman" w:eastAsia="仿宋_GB2312" w:cs="Times New Roman"/>
                <w:sz w:val="24"/>
                <w:szCs w:val="24"/>
              </w:rPr>
            </w:pPr>
          </w:p>
        </w:tc>
        <w:tc>
          <w:tcPr>
            <w:tcW w:w="1038" w:type="pct"/>
            <w:vAlign w:val="center"/>
          </w:tcPr>
          <w:p>
            <w:pPr>
              <w:spacing w:beforeLines="30" w:afterLines="30"/>
              <w:rPr>
                <w:rFonts w:ascii="Times New Roman" w:hAnsi="Times New Roman" w:eastAsia="仿宋_GB2312" w:cs="Times New Roman"/>
                <w:sz w:val="24"/>
                <w:szCs w:val="24"/>
              </w:rPr>
            </w:pPr>
          </w:p>
        </w:tc>
        <w:tc>
          <w:tcPr>
            <w:tcW w:w="512" w:type="pct"/>
            <w:vAlign w:val="center"/>
          </w:tcPr>
          <w:p>
            <w:pPr>
              <w:spacing w:beforeLines="30" w:afterLines="30"/>
              <w:rPr>
                <w:rFonts w:ascii="Times New Roman" w:hAnsi="Times New Roman" w:eastAsia="仿宋_GB2312" w:cs="Times New Roman"/>
                <w:sz w:val="24"/>
                <w:szCs w:val="24"/>
              </w:rPr>
            </w:pPr>
          </w:p>
        </w:tc>
        <w:tc>
          <w:tcPr>
            <w:tcW w:w="473" w:type="pct"/>
            <w:vAlign w:val="center"/>
          </w:tcPr>
          <w:p>
            <w:pPr>
              <w:spacing w:beforeLines="30" w:afterLines="30"/>
              <w:rPr>
                <w:rFonts w:ascii="Times New Roman" w:hAnsi="Times New Roman" w:eastAsia="仿宋_GB2312" w:cs="Times New Roman"/>
                <w:sz w:val="24"/>
                <w:szCs w:val="24"/>
              </w:rPr>
            </w:pPr>
          </w:p>
        </w:tc>
        <w:tc>
          <w:tcPr>
            <w:tcW w:w="771" w:type="pct"/>
            <w:vAlign w:val="center"/>
          </w:tcPr>
          <w:p>
            <w:pPr>
              <w:spacing w:beforeLines="30" w:afterLines="30"/>
              <w:rPr>
                <w:rFonts w:ascii="Times New Roman" w:hAnsi="Times New Roman" w:eastAsia="仿宋_GB2312" w:cs="Times New Roman"/>
                <w:sz w:val="24"/>
                <w:szCs w:val="24"/>
              </w:rPr>
            </w:pPr>
          </w:p>
        </w:tc>
      </w:tr>
    </w:tbl>
    <w:p>
      <w:pPr>
        <w:widowControl/>
        <w:tabs>
          <w:tab w:val="left" w:pos="1013"/>
        </w:tabs>
        <w:ind w:right="-197" w:rightChars="-94"/>
        <w:jc w:val="left"/>
        <w:rPr>
          <w:rFonts w:ascii="Times New Roman" w:hAnsi="Times New Roman" w:eastAsia="宋体" w:cs="Times New Roman"/>
          <w:szCs w:val="24"/>
        </w:rPr>
      </w:pPr>
      <w:r>
        <w:rPr>
          <w:rFonts w:hint="eastAsia" w:ascii="Times New Roman" w:hAnsi="Times New Roman" w:eastAsia="宋体" w:cs="Times New Roman"/>
          <w:szCs w:val="24"/>
        </w:rPr>
        <w:t>注：1</w:t>
      </w:r>
      <w:r>
        <w:rPr>
          <w:rFonts w:ascii="Times New Roman" w:hAnsi="Times New Roman" w:eastAsia="宋体" w:cs="Times New Roman"/>
          <w:szCs w:val="24"/>
        </w:rPr>
        <w:t>.专业建设指本专业获得省部级</w:t>
      </w:r>
      <w:r>
        <w:rPr>
          <w:rFonts w:hint="eastAsia" w:ascii="Times New Roman" w:hAnsi="Times New Roman" w:eastAsia="宋体" w:cs="Times New Roman"/>
          <w:szCs w:val="24"/>
        </w:rPr>
        <w:t>特色专业、品牌专业、一流专业等建设项目支持情况。</w:t>
      </w:r>
    </w:p>
    <w:p>
      <w:pPr>
        <w:widowControl/>
        <w:tabs>
          <w:tab w:val="left" w:pos="1013"/>
        </w:tabs>
        <w:jc w:val="left"/>
        <w:rPr>
          <w:rFonts w:ascii="楷体" w:hAnsi="楷体" w:eastAsia="楷体" w:cs="宋体"/>
          <w:b/>
          <w:kern w:val="0"/>
          <w:sz w:val="32"/>
          <w:szCs w:val="32"/>
        </w:rPr>
      </w:pPr>
      <w:r>
        <w:rPr>
          <w:rFonts w:ascii="Times New Roman" w:hAnsi="Times New Roman" w:eastAsia="宋体" w:cs="Times New Roman"/>
          <w:szCs w:val="24"/>
        </w:rPr>
        <w:t xml:space="preserve">   2.其他指本专业教师和学生获得的省部级及以上教育教学奖励和支持情况</w:t>
      </w:r>
      <w:r>
        <w:rPr>
          <w:rFonts w:hint="eastAsia" w:ascii="Times New Roman" w:hAnsi="Times New Roman" w:eastAsia="宋体" w:cs="Times New Roman"/>
          <w:szCs w:val="24"/>
        </w:rPr>
        <w:t>。</w:t>
      </w:r>
      <w:r>
        <w:rPr>
          <w:rFonts w:ascii="Times New Roman" w:hAnsi="Times New Roman" w:eastAsia="宋体" w:cs="Times New Roman"/>
          <w:szCs w:val="24"/>
        </w:rPr>
        <w:br w:type="page"/>
      </w:r>
      <w:r>
        <w:rPr>
          <w:rFonts w:hint="eastAsia" w:ascii="Times New Roman" w:hAnsi="Times New Roman" w:eastAsia="仿宋_GB2312" w:cs="Times New Roman"/>
          <w:b/>
          <w:bCs/>
          <w:sz w:val="32"/>
          <w:szCs w:val="32"/>
        </w:rPr>
        <w:t>5.专业定位、历史沿革和特色优势</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296" w:type="dxa"/>
          </w:tcPr>
          <w:p>
            <w:pPr>
              <w:spacing w:line="0" w:lineRule="atLeast"/>
              <w:jc w:val="left"/>
              <w:rPr>
                <w:rFonts w:ascii="仿宋" w:hAnsi="仿宋" w:eastAsia="仿宋" w:cs="Times New Roman"/>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spacing w:line="360" w:lineRule="auto"/>
        <w:jc w:val="both"/>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6.深化专业综合改革的主要举措和成效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296"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1000字以内</w:t>
            </w:r>
            <w:r>
              <w:rPr>
                <w:rFonts w:hint="eastAsia" w:ascii="仿宋" w:hAnsi="仿宋" w:eastAsia="仿宋" w:cs="Times New Roman"/>
                <w:bCs/>
                <w:szCs w:val="21"/>
              </w:rPr>
              <w:t>）</w:t>
            </w:r>
          </w:p>
        </w:tc>
      </w:tr>
    </w:tbl>
    <w:p>
      <w:pPr>
        <w:widowControl/>
        <w:jc w:val="left"/>
        <w:rPr>
          <w:rFonts w:ascii="楷体" w:hAnsi="楷体" w:eastAsia="楷体" w:cs="宋体"/>
          <w:b/>
          <w:kern w:val="0"/>
          <w:sz w:val="32"/>
          <w:szCs w:val="32"/>
        </w:rPr>
      </w:pPr>
      <w:r>
        <w:rPr>
          <w:rFonts w:ascii="楷体" w:hAnsi="楷体" w:eastAsia="楷体" w:cs="宋体"/>
          <w:b/>
          <w:kern w:val="0"/>
          <w:sz w:val="32"/>
          <w:szCs w:val="32"/>
        </w:rPr>
        <w:br w:type="page"/>
      </w:r>
      <w:r>
        <w:rPr>
          <w:rFonts w:hint="eastAsia" w:ascii="Times New Roman" w:hAnsi="Times New Roman" w:eastAsia="仿宋_GB2312" w:cs="Times New Roman"/>
          <w:b/>
          <w:bCs/>
          <w:sz w:val="32"/>
          <w:szCs w:val="32"/>
        </w:rPr>
        <w:t>7.加强师资队伍和基层教学组织建设的主要举措及成效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9570"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spacing w:line="360" w:lineRule="auto"/>
        <w:jc w:val="both"/>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8.加强专业教学质量保障体系建设的主要举措和成效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9570"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黑体" w:hAnsi="黑体" w:eastAsia="黑体" w:cs="Times New Roman"/>
          <w:sz w:val="36"/>
          <w:szCs w:val="36"/>
        </w:rPr>
      </w:pPr>
      <w:r>
        <w:rPr>
          <w:rFonts w:ascii="楷体" w:hAnsi="楷体" w:eastAsia="楷体" w:cs="宋体"/>
          <w:b/>
          <w:kern w:val="0"/>
          <w:sz w:val="32"/>
          <w:szCs w:val="32"/>
        </w:rPr>
        <w:br w:type="page"/>
      </w:r>
      <w:r>
        <w:rPr>
          <w:rFonts w:hint="eastAsia" w:ascii="Times New Roman" w:hAnsi="Times New Roman" w:eastAsia="仿宋_GB2312" w:cs="Times New Roman"/>
          <w:b/>
          <w:bCs/>
          <w:sz w:val="32"/>
          <w:szCs w:val="32"/>
        </w:rPr>
        <w:t>9.毕业生培养质量的跟踪调查结果和外部评价</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9570"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黑体" w:hAnsi="黑体" w:eastAsia="黑体" w:cs="Times New Roman"/>
          <w:sz w:val="36"/>
          <w:szCs w:val="36"/>
        </w:rPr>
      </w:pPr>
      <w:r>
        <w:rPr>
          <w:rFonts w:hint="eastAsia" w:ascii="黑体" w:hAnsi="黑体" w:eastAsia="黑体" w:cs="宋体"/>
          <w:b/>
          <w:kern w:val="0"/>
          <w:sz w:val="32"/>
          <w:szCs w:val="32"/>
        </w:rPr>
        <w:t>三、</w:t>
      </w:r>
      <w:r>
        <w:rPr>
          <w:rFonts w:ascii="黑体" w:hAnsi="黑体" w:eastAsia="黑体" w:cs="宋体"/>
          <w:b/>
          <w:kern w:val="0"/>
          <w:sz w:val="32"/>
          <w:szCs w:val="32"/>
        </w:rPr>
        <w:t>下一步推进专业建设和改革的主要思路</w:t>
      </w:r>
      <w:r>
        <w:rPr>
          <w:rFonts w:hint="eastAsia" w:ascii="黑体" w:hAnsi="黑体" w:eastAsia="黑体" w:cs="宋体"/>
          <w:b/>
          <w:kern w:val="0"/>
          <w:sz w:val="32"/>
          <w:szCs w:val="32"/>
        </w:rPr>
        <w:t>及</w:t>
      </w:r>
      <w:r>
        <w:rPr>
          <w:rFonts w:ascii="黑体" w:hAnsi="黑体" w:eastAsia="黑体" w:cs="宋体"/>
          <w:b/>
          <w:kern w:val="0"/>
          <w:sz w:val="32"/>
          <w:szCs w:val="32"/>
        </w:rPr>
        <w:t>举措</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9" w:hRule="atLeast"/>
        </w:trPr>
        <w:tc>
          <w:tcPr>
            <w:tcW w:w="9570" w:type="dxa"/>
          </w:tcPr>
          <w:p>
            <w:pPr>
              <w:spacing w:line="0" w:lineRule="atLeast"/>
              <w:jc w:val="left"/>
              <w:rPr>
                <w:rFonts w:ascii="方正小标宋_GBK" w:hAnsi="Times New Roman" w:eastAsia="仿宋_GB2312" w:cs="Times New Roman"/>
                <w:b/>
                <w:bCs/>
                <w:szCs w:val="21"/>
              </w:rPr>
            </w:pPr>
            <w:bookmarkStart w:id="1" w:name="_Hlk2001382"/>
            <w:r>
              <w:rPr>
                <w:rFonts w:hint="eastAsia" w:ascii="仿宋" w:hAnsi="仿宋" w:eastAsia="仿宋" w:cs="Times New Roman"/>
                <w:bCs/>
                <w:szCs w:val="21"/>
              </w:rPr>
              <w:t>（限</w:t>
            </w:r>
            <w:r>
              <w:rPr>
                <w:rFonts w:ascii="仿宋" w:hAnsi="仿宋" w:eastAsia="仿宋" w:cs="Times New Roman"/>
                <w:bCs/>
                <w:szCs w:val="21"/>
              </w:rPr>
              <w:t>800字以内</w:t>
            </w:r>
            <w:r>
              <w:rPr>
                <w:rFonts w:hint="eastAsia" w:ascii="仿宋" w:hAnsi="仿宋" w:eastAsia="仿宋" w:cs="Times New Roman"/>
                <w:bCs/>
                <w:szCs w:val="21"/>
              </w:rPr>
              <w:t>）</w:t>
            </w:r>
          </w:p>
        </w:tc>
      </w:tr>
      <w:bookmarkEnd w:id="1"/>
    </w:tbl>
    <w:p>
      <w:pPr>
        <w:spacing w:line="20" w:lineRule="exact"/>
        <w:rPr>
          <w:rFonts w:ascii="仿宋_GB2312" w:hAnsi="Calibri" w:eastAsia="仿宋_GB2312" w:cs="经典平黑简"/>
          <w:sz w:val="10"/>
          <w:szCs w:val="10"/>
        </w:rPr>
      </w:pPr>
    </w:p>
    <w:p/>
    <w:p>
      <w:pPr>
        <w:rPr>
          <w:rFonts w:hint="default" w:ascii="黑体" w:hAnsi="黑体" w:eastAsia="黑体" w:cs="宋体"/>
          <w:b/>
          <w:kern w:val="0"/>
          <w:sz w:val="32"/>
          <w:szCs w:val="32"/>
          <w:lang w:val="en-US" w:eastAsia="zh-CN"/>
        </w:rPr>
      </w:pPr>
      <w:r>
        <w:rPr>
          <w:rFonts w:hint="eastAsia" w:ascii="黑体" w:hAnsi="黑体" w:eastAsia="黑体" w:cs="宋体"/>
          <w:b/>
          <w:kern w:val="0"/>
          <w:sz w:val="32"/>
          <w:szCs w:val="32"/>
          <w:lang w:val="en-US" w:eastAsia="zh-CN"/>
        </w:rPr>
        <w:t>四、本专业人才培养方案</w:t>
      </w:r>
    </w:p>
    <w:sectPr>
      <w:footerReference r:id="rId3" w:type="default"/>
      <w:pgSz w:w="11906" w:h="16838"/>
      <w:pgMar w:top="1440" w:right="1701" w:bottom="1440"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经典平黑简">
    <w:altName w:val="黑体"/>
    <w:panose1 w:val="00000000000000000000"/>
    <w:charset w:val="86"/>
    <w:family w:val="modern"/>
    <w:pitch w:val="default"/>
    <w:sig w:usb0="00000000" w:usb1="00000000" w:usb2="0000001E"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2282558"/>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43683D"/>
    <w:multiLevelType w:val="singleLevel"/>
    <w:tmpl w:val="AC43683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F55"/>
    <w:rsid w:val="001D66AF"/>
    <w:rsid w:val="009E5C53"/>
    <w:rsid w:val="00B848F0"/>
    <w:rsid w:val="00BD1F55"/>
    <w:rsid w:val="00EF3749"/>
    <w:rsid w:val="020805B2"/>
    <w:rsid w:val="02572A39"/>
    <w:rsid w:val="05F33FA7"/>
    <w:rsid w:val="1B87418A"/>
    <w:rsid w:val="280B6450"/>
    <w:rsid w:val="4F265FD2"/>
    <w:rsid w:val="556E114D"/>
    <w:rsid w:val="59931A9B"/>
    <w:rsid w:val="59DA2DA7"/>
    <w:rsid w:val="5A615867"/>
    <w:rsid w:val="5E5720F5"/>
    <w:rsid w:val="67153B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99"/>
    <w:rPr>
      <w:sz w:val="18"/>
      <w:szCs w:val="18"/>
    </w:rPr>
  </w:style>
  <w:style w:type="character" w:customStyle="1" w:styleId="8">
    <w:name w:val="页眉 Char"/>
    <w:basedOn w:val="6"/>
    <w:link w:val="4"/>
    <w:semiHidden/>
    <w:qFormat/>
    <w:uiPriority w:val="99"/>
    <w:rPr>
      <w:sz w:val="18"/>
      <w:szCs w:val="18"/>
    </w:rPr>
  </w:style>
  <w:style w:type="paragraph" w:customStyle="1" w:styleId="9">
    <w:name w:val="Normal_6"/>
    <w:qFormat/>
    <w:uiPriority w:val="0"/>
    <w:pPr>
      <w:spacing w:before="120" w:after="240"/>
      <w:jc w:val="both"/>
    </w:pPr>
    <w:rPr>
      <w:rFonts w:ascii="Calibri" w:hAnsi="Calibri" w:eastAsia="宋体" w:cs="Times New Roman"/>
      <w:kern w:val="2"/>
      <w:sz w:val="22"/>
      <w:szCs w:val="22"/>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252</Words>
  <Characters>1441</Characters>
  <Lines>12</Lines>
  <Paragraphs>3</Paragraphs>
  <TotalTime>0</TotalTime>
  <ScaleCrop>false</ScaleCrop>
  <LinksUpToDate>false</LinksUpToDate>
  <CharactersWithSpaces>1690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2019-04-09T07:43:00Z</dcterms:created>
  <dc:creator>USER</dc:creator>
  <cp:lastModifiedBy>蒋耀辉</cp:lastModifiedBy>
  <cp:lastPrinted>2021-10-27T09:19:00Z</cp:lastPrinted>
  <dcterms:modified xsi:type="dcterms:W3CDTF">2021-10-29T07:13:15Z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