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F5A2A" w14:textId="77777777" w:rsidR="00A84A4C" w:rsidRDefault="00000000">
      <w:pPr>
        <w:spacing w:line="360" w:lineRule="auto"/>
        <w:jc w:val="left"/>
        <w:outlineLvl w:val="0"/>
        <w:rPr>
          <w:rFonts w:ascii="Times New Roman" w:eastAsia="楷体" w:hAnsi="Times New Roman" w:cs="Times New Roman"/>
          <w:b/>
          <w:bCs/>
          <w:sz w:val="28"/>
          <w:szCs w:val="28"/>
        </w:rPr>
      </w:pPr>
      <w:bookmarkStart w:id="0" w:name="_Toc116839541"/>
      <w:bookmarkStart w:id="1" w:name="_Toc17949"/>
      <w:bookmarkStart w:id="2" w:name="_Toc148782255"/>
      <w:bookmarkStart w:id="3" w:name="_Toc26412"/>
      <w:bookmarkStart w:id="4" w:name="_Toc28381"/>
      <w:bookmarkStart w:id="5" w:name="_Toc148814093"/>
      <w:r>
        <w:rPr>
          <w:rFonts w:ascii="Times New Roman" w:eastAsia="楷体" w:hAnsi="Times New Roman" w:cs="Times New Roman"/>
          <w:b/>
          <w:bCs/>
          <w:sz w:val="28"/>
          <w:szCs w:val="28"/>
        </w:rPr>
        <w:t>附件</w:t>
      </w:r>
      <w:r>
        <w:rPr>
          <w:rFonts w:ascii="Times New Roman" w:eastAsia="楷体" w:hAnsi="Times New Roman" w:cs="Times New Roman"/>
          <w:b/>
          <w:bCs/>
          <w:sz w:val="28"/>
          <w:szCs w:val="28"/>
        </w:rPr>
        <w:t>1</w:t>
      </w:r>
      <w:r>
        <w:rPr>
          <w:rFonts w:ascii="Times New Roman" w:eastAsia="楷体" w:hAnsi="Times New Roman" w:cs="Times New Roman" w:hint="eastAsia"/>
          <w:b/>
          <w:bCs/>
          <w:sz w:val="28"/>
          <w:szCs w:val="28"/>
        </w:rPr>
        <w:t>：</w:t>
      </w:r>
      <w:r>
        <w:rPr>
          <w:rFonts w:ascii="Times New Roman" w:eastAsia="楷体" w:hAnsi="Times New Roman" w:cs="Times New Roman"/>
          <w:b/>
          <w:bCs/>
          <w:sz w:val="28"/>
          <w:szCs w:val="28"/>
        </w:rPr>
        <w:t>2024</w:t>
      </w:r>
      <w:r>
        <w:rPr>
          <w:rFonts w:ascii="Times New Roman" w:eastAsia="楷体" w:hAnsi="Times New Roman" w:cs="Times New Roman"/>
          <w:b/>
          <w:bCs/>
          <w:sz w:val="28"/>
          <w:szCs w:val="28"/>
        </w:rPr>
        <w:t>年湖南科技大学第十二届大学生结构设计竞赛暨第十二届湖南省大学生结构设计竞赛选拔赛赛题</w:t>
      </w:r>
    </w:p>
    <w:p w14:paraId="5AF2DA9E" w14:textId="77777777" w:rsidR="00A84A4C" w:rsidRDefault="00000000">
      <w:pPr>
        <w:spacing w:line="360" w:lineRule="auto"/>
        <w:jc w:val="center"/>
        <w:outlineLvl w:val="0"/>
        <w:rPr>
          <w:rFonts w:ascii="Times New Roman" w:eastAsia="楷体" w:hAnsi="Times New Roman" w:cs="Times New Roman"/>
          <w:b/>
          <w:bCs/>
          <w:sz w:val="32"/>
          <w:szCs w:val="32"/>
        </w:rPr>
      </w:pPr>
      <w:r>
        <w:rPr>
          <w:rFonts w:ascii="Times New Roman" w:eastAsia="楷体" w:hAnsi="Times New Roman" w:cs="Times New Roman"/>
          <w:b/>
          <w:bCs/>
          <w:sz w:val="32"/>
          <w:szCs w:val="32"/>
        </w:rPr>
        <w:t>《考虑水平振动的塔式结构设计与模型制作</w:t>
      </w:r>
      <w:bookmarkEnd w:id="0"/>
      <w:bookmarkEnd w:id="1"/>
      <w:bookmarkEnd w:id="2"/>
      <w:bookmarkEnd w:id="3"/>
      <w:bookmarkEnd w:id="4"/>
      <w:bookmarkEnd w:id="5"/>
      <w:r>
        <w:rPr>
          <w:rFonts w:ascii="Times New Roman" w:eastAsia="楷体" w:hAnsi="Times New Roman" w:cs="Times New Roman"/>
          <w:b/>
          <w:bCs/>
          <w:sz w:val="32"/>
          <w:szCs w:val="32"/>
        </w:rPr>
        <w:t>》</w:t>
      </w:r>
    </w:p>
    <w:p w14:paraId="31B9C5AD" w14:textId="77777777" w:rsidR="00A84A4C" w:rsidRDefault="00000000">
      <w:pPr>
        <w:pStyle w:val="1"/>
        <w:spacing w:after="0" w:line="579" w:lineRule="auto"/>
        <w:rPr>
          <w:rFonts w:ascii="Times New Roman" w:eastAsia="楷体" w:hAnsi="Times New Roman" w:cs="Times New Roman"/>
          <w:kern w:val="28"/>
          <w:sz w:val="28"/>
          <w:szCs w:val="28"/>
        </w:rPr>
      </w:pPr>
      <w:r>
        <w:rPr>
          <w:rFonts w:ascii="Times New Roman" w:eastAsia="楷体" w:hAnsi="Times New Roman" w:cs="Times New Roman"/>
          <w:kern w:val="28"/>
          <w:sz w:val="28"/>
          <w:szCs w:val="28"/>
        </w:rPr>
        <w:t>1.</w:t>
      </w:r>
      <w:r>
        <w:rPr>
          <w:rFonts w:ascii="Times New Roman" w:eastAsia="楷体" w:hAnsi="Times New Roman" w:cs="Times New Roman"/>
          <w:kern w:val="28"/>
          <w:sz w:val="28"/>
          <w:szCs w:val="28"/>
        </w:rPr>
        <w:t>结构要求</w:t>
      </w:r>
    </w:p>
    <w:p w14:paraId="3EE1555D"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1.1</w:t>
      </w:r>
      <w:r>
        <w:rPr>
          <w:rFonts w:ascii="Times New Roman" w:eastAsia="楷体" w:hAnsi="Times New Roman" w:cs="Times New Roman"/>
          <w:b/>
        </w:rPr>
        <w:t>结构概述</w:t>
      </w:r>
    </w:p>
    <w:p w14:paraId="6594B09E"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本竞赛需设计并制作一个塔式结构模型，结构形式不限。如图</w:t>
      </w:r>
      <w:r>
        <w:rPr>
          <w:rFonts w:ascii="Times New Roman" w:eastAsia="楷体" w:hAnsi="Times New Roman" w:cs="Times New Roman"/>
        </w:rPr>
        <w:t>1.1-1</w:t>
      </w:r>
      <w:r>
        <w:rPr>
          <w:rFonts w:ascii="Times New Roman" w:eastAsia="楷体" w:hAnsi="Times New Roman" w:cs="Times New Roman"/>
        </w:rPr>
        <w:t>所示，加载前需要将指定质量的砝码固定在塔顶，结构底部固定在振动台上。通过放置指定质量的砝码和施加指定的激励振动来实现结构受力。</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84A4C" w14:paraId="3CE7BBC1" w14:textId="77777777">
        <w:tc>
          <w:tcPr>
            <w:tcW w:w="9854" w:type="dxa"/>
            <w:tcBorders>
              <w:tl2br w:val="nil"/>
              <w:tr2bl w:val="nil"/>
            </w:tcBorders>
          </w:tcPr>
          <w:p w14:paraId="14488374" w14:textId="77777777" w:rsidR="00A84A4C" w:rsidRDefault="00000000">
            <w:pPr>
              <w:jc w:val="center"/>
              <w:rPr>
                <w:rFonts w:ascii="Times New Roman" w:eastAsia="楷体" w:hAnsi="Times New Roman" w:cs="Times New Roman"/>
                <w:sz w:val="20"/>
                <w:szCs w:val="20"/>
              </w:rPr>
            </w:pPr>
            <w:r>
              <w:rPr>
                <w:rFonts w:ascii="Times New Roman" w:eastAsia="楷体" w:hAnsi="Times New Roman" w:cs="Times New Roman"/>
                <w:noProof/>
              </w:rPr>
              <w:drawing>
                <wp:inline distT="0" distB="0" distL="114300" distR="114300" wp14:anchorId="1BCF6B74" wp14:editId="7F5A0B04">
                  <wp:extent cx="3964305" cy="3599815"/>
                  <wp:effectExtent l="0" t="0" r="171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3964305" cy="3599815"/>
                          </a:xfrm>
                          <a:prstGeom prst="rect">
                            <a:avLst/>
                          </a:prstGeom>
                          <a:noFill/>
                          <a:ln>
                            <a:noFill/>
                          </a:ln>
                        </pic:spPr>
                      </pic:pic>
                    </a:graphicData>
                  </a:graphic>
                </wp:inline>
              </w:drawing>
            </w:r>
          </w:p>
        </w:tc>
      </w:tr>
    </w:tbl>
    <w:p w14:paraId="211AA0F3" w14:textId="77777777" w:rsidR="00A84A4C" w:rsidRDefault="00000000">
      <w:pPr>
        <w:spacing w:line="360" w:lineRule="auto"/>
        <w:ind w:firstLine="482"/>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szCs w:val="24"/>
        </w:rPr>
        <w:t xml:space="preserve">1.1-1 </w:t>
      </w:r>
      <w:r>
        <w:rPr>
          <w:rFonts w:ascii="Times New Roman" w:eastAsia="楷体" w:hAnsi="Times New Roman" w:cs="Times New Roman"/>
          <w:szCs w:val="24"/>
        </w:rPr>
        <w:t>模型及加载装置示意图</w:t>
      </w:r>
    </w:p>
    <w:p w14:paraId="159D48D8"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1.2</w:t>
      </w:r>
      <w:r>
        <w:rPr>
          <w:rFonts w:ascii="Times New Roman" w:eastAsia="楷体" w:hAnsi="Times New Roman" w:cs="Times New Roman"/>
          <w:b/>
        </w:rPr>
        <w:t>模型尺寸要求</w:t>
      </w:r>
    </w:p>
    <w:p w14:paraId="4E0053A5"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塔身内部给出圆柱体内规避区，外部给出圆柱外规避界限，如图</w:t>
      </w:r>
      <w:r>
        <w:rPr>
          <w:rFonts w:ascii="Times New Roman" w:eastAsia="楷体" w:hAnsi="Times New Roman" w:cs="Times New Roman"/>
        </w:rPr>
        <w:t>1.2-1</w:t>
      </w:r>
      <w:r>
        <w:rPr>
          <w:rFonts w:ascii="Times New Roman" w:eastAsia="楷体" w:hAnsi="Times New Roman" w:cs="Times New Roman"/>
        </w:rPr>
        <w:t>所示。具体要求如下：</w:t>
      </w:r>
    </w:p>
    <w:p w14:paraId="7D95BE39" w14:textId="77777777" w:rsidR="00A84A4C"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）塔顶要求：塔顶需为水平面，平面标高为</w:t>
      </w:r>
      <w:r>
        <w:rPr>
          <w:rFonts w:ascii="Times New Roman" w:eastAsia="楷体" w:hAnsi="Times New Roman" w:cs="Times New Roman"/>
          <w:i/>
          <w:iCs/>
        </w:rPr>
        <w:t>H</w:t>
      </w:r>
      <w:r>
        <w:rPr>
          <w:rFonts w:ascii="Times New Roman" w:eastAsia="楷体" w:hAnsi="Times New Roman" w:cs="Times New Roman"/>
        </w:rPr>
        <w:t>，可以通过热熔胶可靠粘贴顶部砝码盘并放置顶部砝码，安装后的顶部砝码盘底面标高须与结构顶面要求高度</w:t>
      </w:r>
      <w:r>
        <w:rPr>
          <w:rFonts w:ascii="Times New Roman" w:eastAsia="楷体" w:hAnsi="Times New Roman" w:cs="Times New Roman"/>
          <w:i/>
          <w:iCs/>
        </w:rPr>
        <w:t>H</w:t>
      </w:r>
      <w:r>
        <w:rPr>
          <w:rFonts w:ascii="Times New Roman" w:eastAsia="楷体" w:hAnsi="Times New Roman" w:cs="Times New Roman"/>
        </w:rPr>
        <w:t>一致，以确保位移</w:t>
      </w:r>
      <w:r>
        <w:rPr>
          <w:rFonts w:ascii="Times New Roman" w:eastAsia="楷体" w:hAnsi="Times New Roman" w:cs="Times New Roman"/>
        </w:rPr>
        <w:lastRenderedPageBreak/>
        <w:t>计能够可靠读数。模型制作时间内，参赛队员应将顶部砝码盘固定位置外边界及朝向等用红色中性笔标志在模型顶部平面，顶部砝码盘中心点的平面投影须与模型底板中心点重合。</w:t>
      </w:r>
    </w:p>
    <w:p w14:paraId="74AF9660" w14:textId="77777777" w:rsidR="00A84A4C"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）塔身规避区要求：塔身外规避界限为底面直径</w:t>
      </w:r>
      <w:r>
        <w:rPr>
          <w:rFonts w:ascii="Times New Roman" w:eastAsia="楷体" w:hAnsi="Times New Roman" w:cs="Times New Roman"/>
        </w:rPr>
        <w:t>300mm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楷体" w:hAnsi="Times New Roman" w:cs="Times New Roman"/>
        </w:rPr>
        <w:t>的圆柱，规定模型的外边界不得超出此界限；塔身内规避区为底面直径</w:t>
      </w:r>
      <w:r>
        <w:rPr>
          <w:rFonts w:ascii="Times New Roman" w:eastAsia="楷体" w:hAnsi="Times New Roman" w:cs="Times New Roman"/>
        </w:rPr>
        <w:t>100mm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楷体" w:hAnsi="Times New Roman" w:cs="Times New Roman"/>
        </w:rPr>
        <w:t>−200mm</w:t>
      </w:r>
      <w:r>
        <w:rPr>
          <w:rFonts w:ascii="Times New Roman" w:eastAsia="楷体" w:hAnsi="Times New Roman" w:cs="Times New Roman"/>
        </w:rPr>
        <w:t>的圆柱体，规定不得在此规避区内放置任何杆件；模型整体在灰色阴影之内。</w:t>
      </w:r>
    </w:p>
    <w:p w14:paraId="0F28E2E1" w14:textId="77777777" w:rsidR="00A84A4C"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上述相关尺寸的误差均需满足在</w:t>
      </w:r>
      <w:r>
        <w:rPr>
          <w:rFonts w:ascii="Times New Roman" w:eastAsia="楷体" w:hAnsi="Times New Roman" w:cs="Times New Roman"/>
        </w:rPr>
        <w:t>±5mm</w:t>
      </w:r>
      <w:r>
        <w:rPr>
          <w:rFonts w:ascii="Times New Roman" w:eastAsia="楷体" w:hAnsi="Times New Roman" w:cs="Times New Roman"/>
        </w:rPr>
        <w:t>范围内。</w:t>
      </w:r>
    </w:p>
    <w:p w14:paraId="2E948AE9" w14:textId="77777777" w:rsidR="00A84A4C" w:rsidRDefault="00000000">
      <w:pPr>
        <w:tabs>
          <w:tab w:val="left" w:pos="426"/>
        </w:tabs>
        <w:spacing w:line="360" w:lineRule="auto"/>
        <w:jc w:val="center"/>
        <w:rPr>
          <w:rFonts w:ascii="Times New Roman" w:eastAsia="楷体" w:hAnsi="Times New Roman" w:cs="Times New Roman"/>
        </w:rPr>
      </w:pPr>
      <w:r>
        <w:rPr>
          <w:rFonts w:ascii="Times New Roman" w:eastAsia="楷体" w:hAnsi="Times New Roman" w:cs="Times New Roman"/>
          <w:noProof/>
          <w:sz w:val="20"/>
          <w:szCs w:val="20"/>
        </w:rPr>
        <w:drawing>
          <wp:inline distT="0" distB="0" distL="0" distR="0" wp14:anchorId="3C659C67" wp14:editId="212DF050">
            <wp:extent cx="4599940" cy="2720975"/>
            <wp:effectExtent l="0" t="0" r="1016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14:paraId="13A1D6D4" w14:textId="77777777" w:rsidR="00A84A4C" w:rsidRDefault="00000000">
      <w:pPr>
        <w:spacing w:line="360" w:lineRule="auto"/>
        <w:ind w:firstLine="482"/>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szCs w:val="24"/>
        </w:rPr>
        <w:t xml:space="preserve">1.2-1 </w:t>
      </w:r>
      <w:r>
        <w:rPr>
          <w:rFonts w:ascii="Times New Roman" w:eastAsia="楷体" w:hAnsi="Times New Roman" w:cs="Times New Roman"/>
          <w:szCs w:val="24"/>
        </w:rPr>
        <w:t>模型制作空间（灰色部分，单位：</w:t>
      </w:r>
      <w:r>
        <w:rPr>
          <w:rFonts w:ascii="Times New Roman" w:eastAsia="楷体" w:hAnsi="Times New Roman" w:cs="Times New Roman"/>
          <w:szCs w:val="24"/>
        </w:rPr>
        <w:t>mm</w:t>
      </w:r>
      <w:r>
        <w:rPr>
          <w:rFonts w:ascii="Times New Roman" w:eastAsia="楷体" w:hAnsi="Times New Roman" w:cs="Times New Roman"/>
          <w:szCs w:val="24"/>
        </w:rPr>
        <w:t>）</w:t>
      </w:r>
    </w:p>
    <w:p w14:paraId="42BB2FBF"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1.3</w:t>
      </w:r>
      <w:r>
        <w:rPr>
          <w:rFonts w:ascii="Times New Roman" w:eastAsia="楷体" w:hAnsi="Times New Roman" w:cs="Times New Roman"/>
          <w:b/>
        </w:rPr>
        <w:t>模型底板</w:t>
      </w:r>
    </w:p>
    <w:p w14:paraId="22239D16"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模型底板用于连接模型和振动台，如图</w:t>
      </w:r>
      <w:r>
        <w:rPr>
          <w:rFonts w:ascii="Times New Roman" w:eastAsia="楷体" w:hAnsi="Times New Roman" w:cs="Times New Roman"/>
        </w:rPr>
        <w:t>1.3-1</w:t>
      </w:r>
      <w:r>
        <w:rPr>
          <w:rFonts w:ascii="Times New Roman" w:eastAsia="楷体" w:hAnsi="Times New Roman" w:cs="Times New Roman"/>
        </w:rPr>
        <w:t>，板厚</w:t>
      </w:r>
      <w:r>
        <w:rPr>
          <w:rFonts w:ascii="Times New Roman" w:eastAsia="楷体" w:hAnsi="Times New Roman" w:cs="Times New Roman"/>
        </w:rPr>
        <w:t>15mm</w:t>
      </w:r>
      <w:r>
        <w:rPr>
          <w:rFonts w:ascii="Times New Roman" w:eastAsia="楷体" w:hAnsi="Times New Roman" w:cs="Times New Roman"/>
        </w:rPr>
        <w:t>。模型通过自攻螺钉固定于模型底板上，底板通过专用螺丝固定在振动台上。</w:t>
      </w:r>
    </w:p>
    <w:p w14:paraId="4B4E21A5" w14:textId="77777777" w:rsidR="00A84A4C" w:rsidRDefault="0000000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7A68FF2E" wp14:editId="29128AE9">
            <wp:extent cx="4690745" cy="2447290"/>
            <wp:effectExtent l="0" t="0" r="0" b="0"/>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pic:cNvPicPr>
                      <a:picLocks noChangeAspect="1" noChangeArrowheads="1"/>
                    </pic:cNvPicPr>
                  </pic:nvPicPr>
                  <pic:blipFill>
                    <a:blip r:embed="rId11" cstate="print">
                      <a:extLst>
                        <a:ext uri="{28A0092B-C50C-407E-A947-70E740481C1C}">
                          <a14:useLocalDpi xmlns:a14="http://schemas.microsoft.com/office/drawing/2010/main" val="0"/>
                        </a:ext>
                      </a:extLst>
                    </a:blip>
                    <a:srcRect t="7424" b="13095"/>
                    <a:stretch>
                      <a:fillRect/>
                    </a:stretch>
                  </pic:blipFill>
                  <pic:spPr>
                    <a:xfrm>
                      <a:off x="0" y="0"/>
                      <a:ext cx="4764763" cy="2447290"/>
                    </a:xfrm>
                    <a:prstGeom prst="rect">
                      <a:avLst/>
                    </a:prstGeom>
                    <a:noFill/>
                    <a:ln>
                      <a:noFill/>
                    </a:ln>
                  </pic:spPr>
                </pic:pic>
              </a:graphicData>
            </a:graphic>
          </wp:inline>
        </w:drawing>
      </w:r>
    </w:p>
    <w:p w14:paraId="0F6D89D1" w14:textId="77777777" w:rsidR="00A84A4C" w:rsidRDefault="00000000">
      <w:pPr>
        <w:spacing w:line="360" w:lineRule="auto"/>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szCs w:val="24"/>
        </w:rPr>
        <w:t xml:space="preserve">1.3-1 </w:t>
      </w:r>
      <w:r>
        <w:rPr>
          <w:rFonts w:ascii="Times New Roman" w:eastAsia="楷体" w:hAnsi="Times New Roman" w:cs="Times New Roman"/>
          <w:szCs w:val="24"/>
        </w:rPr>
        <w:t>模型底板图（单位：</w:t>
      </w:r>
      <w:r>
        <w:rPr>
          <w:rFonts w:ascii="Times New Roman" w:eastAsia="楷体" w:hAnsi="Times New Roman" w:cs="Times New Roman"/>
          <w:szCs w:val="24"/>
        </w:rPr>
        <w:t>mm</w:t>
      </w:r>
      <w:r>
        <w:rPr>
          <w:rFonts w:ascii="Times New Roman" w:eastAsia="楷体" w:hAnsi="Times New Roman" w:cs="Times New Roman"/>
          <w:szCs w:val="24"/>
        </w:rPr>
        <w:t>）</w:t>
      </w:r>
    </w:p>
    <w:p w14:paraId="784CC65A" w14:textId="77777777" w:rsidR="00A84A4C" w:rsidRDefault="00000000">
      <w:pPr>
        <w:widowControl/>
        <w:jc w:val="left"/>
        <w:rPr>
          <w:rFonts w:ascii="Times New Roman" w:eastAsia="楷体" w:hAnsi="Times New Roman" w:cs="Times New Roman"/>
          <w:sz w:val="20"/>
          <w:szCs w:val="20"/>
        </w:rPr>
      </w:pPr>
      <w:r>
        <w:rPr>
          <w:rFonts w:ascii="Times New Roman" w:eastAsia="楷体" w:hAnsi="Times New Roman" w:cs="Times New Roman"/>
          <w:sz w:val="20"/>
          <w:szCs w:val="20"/>
        </w:rPr>
        <w:lastRenderedPageBreak/>
        <w:br w:type="page"/>
      </w:r>
    </w:p>
    <w:p w14:paraId="34626A13" w14:textId="77777777" w:rsidR="00A84A4C" w:rsidRDefault="00000000">
      <w:pPr>
        <w:pStyle w:val="1"/>
        <w:spacing w:after="0" w:line="579" w:lineRule="auto"/>
        <w:rPr>
          <w:rFonts w:ascii="Times New Roman" w:eastAsia="楷体" w:hAnsi="Times New Roman" w:cs="Times New Roman"/>
          <w:kern w:val="28"/>
          <w:sz w:val="28"/>
          <w:szCs w:val="28"/>
        </w:rPr>
      </w:pPr>
      <w:r>
        <w:rPr>
          <w:rFonts w:ascii="Times New Roman" w:eastAsia="楷体" w:hAnsi="Times New Roman" w:cs="Times New Roman"/>
          <w:kern w:val="28"/>
          <w:sz w:val="28"/>
          <w:szCs w:val="28"/>
        </w:rPr>
        <w:lastRenderedPageBreak/>
        <w:t>2.</w:t>
      </w:r>
      <w:r>
        <w:rPr>
          <w:rFonts w:ascii="Times New Roman" w:eastAsia="楷体" w:hAnsi="Times New Roman" w:cs="Times New Roman"/>
          <w:kern w:val="28"/>
          <w:sz w:val="28"/>
          <w:szCs w:val="28"/>
        </w:rPr>
        <w:t>加载装置</w:t>
      </w:r>
    </w:p>
    <w:p w14:paraId="3E8C2CA6"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2.1</w:t>
      </w:r>
      <w:r>
        <w:rPr>
          <w:rFonts w:ascii="Times New Roman" w:eastAsia="楷体" w:hAnsi="Times New Roman" w:cs="Times New Roman"/>
          <w:b/>
        </w:rPr>
        <w:t>加载装置组成</w:t>
      </w:r>
    </w:p>
    <w:p w14:paraId="2299BCAA" w14:textId="77777777" w:rsidR="00A84A4C" w:rsidRDefault="00000000">
      <w:pPr>
        <w:widowControl/>
        <w:spacing w:line="360" w:lineRule="auto"/>
        <w:ind w:firstLineChars="200" w:firstLine="480"/>
        <w:rPr>
          <w:rFonts w:ascii="Times New Roman" w:eastAsia="楷体" w:hAnsi="Times New Roman" w:cs="Times New Roman"/>
          <w:kern w:val="0"/>
          <w:szCs w:val="24"/>
        </w:rPr>
      </w:pPr>
      <w:r>
        <w:rPr>
          <w:rFonts w:ascii="Times New Roman" w:eastAsia="楷体" w:hAnsi="Times New Roman" w:cs="Times New Roman"/>
          <w:kern w:val="0"/>
          <w:szCs w:val="24"/>
        </w:rPr>
        <w:t>加载装置如图</w:t>
      </w:r>
      <w:r>
        <w:rPr>
          <w:rFonts w:ascii="Times New Roman" w:eastAsia="楷体" w:hAnsi="Times New Roman" w:cs="Times New Roman"/>
          <w:kern w:val="0"/>
          <w:szCs w:val="24"/>
        </w:rPr>
        <w:t>1.1-1</w:t>
      </w:r>
      <w:r>
        <w:rPr>
          <w:rFonts w:ascii="Times New Roman" w:eastAsia="楷体" w:hAnsi="Times New Roman" w:cs="Times New Roman"/>
          <w:kern w:val="0"/>
          <w:szCs w:val="24"/>
        </w:rPr>
        <w:t>所示。组成加载装置的主要部分为水平振动激励装置（振动台）、水平荷载加载系统、</w:t>
      </w:r>
      <w:bookmarkStart w:id="6" w:name="_Hlk153828344"/>
      <w:r>
        <w:rPr>
          <w:rFonts w:ascii="Times New Roman" w:eastAsia="楷体" w:hAnsi="Times New Roman" w:cs="Times New Roman"/>
          <w:kern w:val="0"/>
          <w:szCs w:val="24"/>
        </w:rPr>
        <w:t>顶部</w:t>
      </w:r>
      <w:bookmarkEnd w:id="6"/>
      <w:r>
        <w:rPr>
          <w:rFonts w:ascii="Times New Roman" w:eastAsia="楷体" w:hAnsi="Times New Roman" w:cs="Times New Roman"/>
          <w:kern w:val="0"/>
          <w:szCs w:val="24"/>
        </w:rPr>
        <w:t>质量系统位移与加速度量测系统、加载辅助框架等。各组成部分应满足赛题各项标准要求，</w:t>
      </w:r>
      <w:r>
        <w:rPr>
          <w:rFonts w:ascii="Times New Roman" w:eastAsia="楷体" w:hAnsi="Times New Roman" w:cs="Times New Roman"/>
        </w:rPr>
        <w:t>参赛队员也应考虑加载设备、各系统配合及测量等误差对竞赛结果的影响</w:t>
      </w:r>
      <w:r>
        <w:rPr>
          <w:rFonts w:ascii="Times New Roman" w:eastAsia="楷体" w:hAnsi="Times New Roman" w:cs="Times New Roman"/>
          <w:kern w:val="0"/>
          <w:szCs w:val="24"/>
        </w:rPr>
        <w:t>。</w:t>
      </w:r>
    </w:p>
    <w:p w14:paraId="7EE78FDC"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2.2</w:t>
      </w:r>
      <w:r>
        <w:rPr>
          <w:rFonts w:ascii="Times New Roman" w:eastAsia="楷体" w:hAnsi="Times New Roman" w:cs="Times New Roman"/>
          <w:b/>
        </w:rPr>
        <w:t>水平振动激励装置（振动台）</w:t>
      </w:r>
    </w:p>
    <w:p w14:paraId="1486DD6A"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水平振动激励装置（振动台），如图</w:t>
      </w:r>
      <w:r>
        <w:rPr>
          <w:rFonts w:ascii="Times New Roman" w:eastAsia="楷体" w:hAnsi="Times New Roman" w:cs="Times New Roman"/>
        </w:rPr>
        <w:t xml:space="preserve"> </w:t>
      </w:r>
      <w:r>
        <w:rPr>
          <w:rFonts w:ascii="Times New Roman" w:eastAsia="楷体" w:hAnsi="Times New Roman" w:cs="Times New Roman"/>
          <w:kern w:val="0"/>
          <w:szCs w:val="24"/>
        </w:rPr>
        <w:t>1.1-1</w:t>
      </w:r>
      <w:r>
        <w:rPr>
          <w:rFonts w:ascii="Times New Roman" w:eastAsia="楷体" w:hAnsi="Times New Roman" w:cs="Times New Roman"/>
        </w:rPr>
        <w:t xml:space="preserve"> </w:t>
      </w:r>
      <w:r>
        <w:rPr>
          <w:rFonts w:ascii="Times New Roman" w:eastAsia="楷体" w:hAnsi="Times New Roman" w:cs="Times New Roman"/>
        </w:rPr>
        <w:t>所示，该装置提供赛题所需单向水平激励振动。振动台置于地面要有足够的稳定性，台面实测振动加速度精度和多次误差应不大于</w:t>
      </w:r>
      <w:r>
        <w:rPr>
          <w:rFonts w:ascii="Times New Roman" w:eastAsia="楷体" w:hAnsi="Times New Roman" w:cs="Times New Roman"/>
        </w:rPr>
        <w:t>10%</w:t>
      </w:r>
      <w:r>
        <w:rPr>
          <w:rFonts w:ascii="Times New Roman" w:eastAsia="楷体" w:hAnsi="Times New Roman" w:cs="Times New Roman"/>
        </w:rPr>
        <w:t>。</w:t>
      </w:r>
    </w:p>
    <w:p w14:paraId="14E8F3F7"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2.3</w:t>
      </w:r>
      <w:r>
        <w:rPr>
          <w:rFonts w:ascii="Times New Roman" w:eastAsia="楷体" w:hAnsi="Times New Roman" w:cs="Times New Roman"/>
          <w:b/>
        </w:rPr>
        <w:t>水平荷载加载系统</w:t>
      </w:r>
    </w:p>
    <w:p w14:paraId="47E41702"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水平荷载加载系统由钢丝绳、装在加载辅助框架上的滑轮、侧向力砝码和侧向力砝码盘组成，如图</w:t>
      </w:r>
      <w:r>
        <w:rPr>
          <w:rFonts w:ascii="Times New Roman" w:eastAsia="楷体" w:hAnsi="Times New Roman" w:cs="Times New Roman"/>
          <w:kern w:val="0"/>
          <w:szCs w:val="24"/>
        </w:rPr>
        <w:t>1.1-1</w:t>
      </w:r>
      <w:r>
        <w:rPr>
          <w:rFonts w:ascii="Times New Roman" w:eastAsia="楷体" w:hAnsi="Times New Roman" w:cs="Times New Roman"/>
        </w:rPr>
        <w:t>。加载时通过钢丝绳一端水平与模型顶部的顶部砝码盘连接，钢丝绳绕过滑轮组后另一端竖向与侧向力砝码盘连接，侧向力砝码盘重约</w:t>
      </w:r>
      <w:r>
        <w:rPr>
          <w:rFonts w:ascii="Times New Roman" w:eastAsia="楷体" w:hAnsi="Times New Roman" w:cs="Times New Roman"/>
        </w:rPr>
        <w:t>200</w:t>
      </w:r>
      <w:r>
        <w:rPr>
          <w:rFonts w:ascii="Times New Roman" w:eastAsia="楷体" w:hAnsi="Times New Roman" w:cs="Times New Roman"/>
        </w:rPr>
        <w:t>克，其上置砝码通过重力作用施加水平荷载。</w:t>
      </w:r>
    </w:p>
    <w:p w14:paraId="14537E1F" w14:textId="77777777" w:rsidR="00A84A4C" w:rsidRDefault="00000000">
      <w:pPr>
        <w:keepNext/>
        <w:keepLines/>
        <w:spacing w:line="360" w:lineRule="auto"/>
        <w:jc w:val="left"/>
        <w:outlineLvl w:val="1"/>
        <w:rPr>
          <w:rFonts w:ascii="Times New Roman" w:eastAsia="楷体" w:hAnsi="Times New Roman" w:cs="Times New Roman"/>
          <w:b/>
        </w:rPr>
      </w:pPr>
      <w:bookmarkStart w:id="7" w:name="_Hlk148870474"/>
      <w:r>
        <w:rPr>
          <w:rFonts w:ascii="Times New Roman" w:eastAsia="楷体" w:hAnsi="Times New Roman" w:cs="Times New Roman"/>
          <w:b/>
        </w:rPr>
        <w:t>2.4</w:t>
      </w:r>
      <w:r>
        <w:rPr>
          <w:rFonts w:ascii="Times New Roman" w:eastAsia="楷体" w:hAnsi="Times New Roman" w:cs="Times New Roman"/>
          <w:b/>
        </w:rPr>
        <w:t>顶部质量系统</w:t>
      </w:r>
      <w:bookmarkEnd w:id="7"/>
    </w:p>
    <w:p w14:paraId="621A2F4B"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bCs/>
        </w:rPr>
        <w:t>顶部质量</w:t>
      </w:r>
      <w:r>
        <w:rPr>
          <w:rFonts w:ascii="Times New Roman" w:eastAsia="楷体" w:hAnsi="Times New Roman" w:cs="Times New Roman"/>
        </w:rPr>
        <w:t>系统由顶部砝码、顶部砝码盘及附属配件组成。如图</w:t>
      </w:r>
      <w:r>
        <w:rPr>
          <w:rFonts w:ascii="Times New Roman" w:eastAsia="楷体" w:hAnsi="Times New Roman" w:cs="Times New Roman" w:hint="eastAsia"/>
        </w:rPr>
        <w:t>2.4-1</w:t>
      </w:r>
      <w:r>
        <w:rPr>
          <w:rFonts w:ascii="Times New Roman" w:eastAsia="楷体" w:hAnsi="Times New Roman" w:cs="Times New Roman"/>
        </w:rPr>
        <w:t>所示，顶部砝码盘及附属配件总重</w:t>
      </w:r>
      <w:r>
        <w:rPr>
          <w:rFonts w:ascii="Times New Roman" w:eastAsia="楷体" w:hAnsi="Times New Roman" w:cs="Times New Roman"/>
        </w:rPr>
        <w:t>1kg</w:t>
      </w:r>
      <w:r>
        <w:rPr>
          <w:rFonts w:ascii="Times New Roman" w:eastAsia="楷体" w:hAnsi="Times New Roman" w:cs="Times New Roman"/>
        </w:rPr>
        <w:t>，顶部砝码盘底部可通过热熔胶与模型顶部固定。顶部砝码为专用砝码，每块质量为</w:t>
      </w:r>
      <w:r>
        <w:rPr>
          <w:rFonts w:ascii="Times New Roman" w:eastAsia="楷体" w:hAnsi="Times New Roman" w:cs="Times New Roman"/>
        </w:rPr>
        <w:t>1kg</w:t>
      </w:r>
      <w:r>
        <w:rPr>
          <w:rFonts w:ascii="Times New Roman" w:eastAsia="楷体" w:hAnsi="Times New Roman" w:cs="Times New Roman"/>
        </w:rPr>
        <w:t>，具体尺寸如图</w:t>
      </w:r>
      <w:r>
        <w:rPr>
          <w:rFonts w:ascii="Times New Roman" w:eastAsia="楷体" w:hAnsi="Times New Roman" w:cs="Times New Roman" w:hint="eastAsia"/>
        </w:rPr>
        <w:t>2.4-2</w:t>
      </w:r>
      <w:r>
        <w:rPr>
          <w:rFonts w:ascii="Times New Roman" w:eastAsia="楷体" w:hAnsi="Times New Roman" w:cs="Times New Roman"/>
        </w:rPr>
        <w:t>。</w:t>
      </w:r>
    </w:p>
    <w:tbl>
      <w:tblPr>
        <w:tblStyle w:val="af2"/>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101"/>
      </w:tblGrid>
      <w:tr w:rsidR="00A84A4C" w14:paraId="335BBA1B" w14:textId="77777777">
        <w:tc>
          <w:tcPr>
            <w:tcW w:w="2415" w:type="pct"/>
          </w:tcPr>
          <w:p w14:paraId="21954DC1" w14:textId="77777777" w:rsidR="00A84A4C" w:rsidRDefault="00000000">
            <w:pPr>
              <w:spacing w:line="360" w:lineRule="auto"/>
              <w:ind w:leftChars="-223" w:hangingChars="223" w:hanging="535"/>
              <w:jc w:val="center"/>
              <w:rPr>
                <w:rFonts w:ascii="Times New Roman" w:eastAsia="楷体" w:hAnsi="Times New Roman" w:cs="Times New Roman"/>
                <w:szCs w:val="24"/>
              </w:rPr>
            </w:pPr>
            <w:r>
              <w:rPr>
                <w:rFonts w:ascii="Times New Roman" w:eastAsia="楷体" w:hAnsi="Times New Roman" w:cs="Times New Roman"/>
                <w:noProof/>
                <w:szCs w:val="24"/>
              </w:rPr>
              <w:drawing>
                <wp:inline distT="0" distB="0" distL="0" distR="0" wp14:anchorId="4767E895" wp14:editId="78527118">
                  <wp:extent cx="2974975" cy="1751330"/>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14:paraId="77D4A21A" w14:textId="77777777" w:rsidR="00A84A4C" w:rsidRDefault="00000000">
            <w:pPr>
              <w:spacing w:line="360" w:lineRule="auto"/>
              <w:ind w:leftChars="-163" w:rightChars="-218" w:right="-523" w:hangingChars="163" w:hanging="391"/>
              <w:jc w:val="left"/>
              <w:rPr>
                <w:rFonts w:ascii="Times New Roman" w:eastAsia="楷体" w:hAnsi="Times New Roman" w:cs="Times New Roman"/>
                <w:szCs w:val="24"/>
              </w:rPr>
            </w:pPr>
            <w:r>
              <w:rPr>
                <w:rFonts w:ascii="Times New Roman" w:eastAsia="楷体" w:hAnsi="Times New Roman" w:cs="Times New Roman"/>
                <w:noProof/>
                <w:szCs w:val="24"/>
              </w:rPr>
              <w:drawing>
                <wp:inline distT="0" distB="0" distL="0" distR="0" wp14:anchorId="0DC9A52D" wp14:editId="0BD261C7">
                  <wp:extent cx="2999105" cy="1765300"/>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rsidR="00A84A4C" w14:paraId="3CBAE4BB" w14:textId="77777777">
        <w:tc>
          <w:tcPr>
            <w:tcW w:w="2415" w:type="pct"/>
          </w:tcPr>
          <w:p w14:paraId="60FF5E9F" w14:textId="77777777" w:rsidR="00A84A4C" w:rsidRDefault="00000000">
            <w:pPr>
              <w:spacing w:line="360" w:lineRule="auto"/>
              <w:ind w:leftChars="-46" w:left="22" w:hangingChars="55" w:hanging="132"/>
              <w:jc w:val="center"/>
              <w:rPr>
                <w:rFonts w:ascii="Times New Roman" w:eastAsia="楷体" w:hAnsi="Times New Roman" w:cs="Times New Roman"/>
                <w:szCs w:val="24"/>
              </w:rPr>
            </w:pPr>
            <w:r>
              <w:rPr>
                <w:rFonts w:ascii="Times New Roman" w:eastAsia="楷体" w:hAnsi="Times New Roman" w:cs="Times New Roman"/>
                <w:szCs w:val="24"/>
              </w:rPr>
              <w:t xml:space="preserve">  </w:t>
            </w:r>
            <w:r>
              <w:rPr>
                <w:rFonts w:ascii="Times New Roman" w:eastAsia="楷体" w:hAnsi="Times New Roman" w:cs="Times New Roman"/>
                <w:szCs w:val="24"/>
              </w:rPr>
              <w:t>图</w:t>
            </w:r>
            <w:r>
              <w:rPr>
                <w:rFonts w:ascii="Times New Roman" w:eastAsia="楷体" w:hAnsi="Times New Roman" w:cs="Times New Roman" w:hint="eastAsia"/>
                <w:szCs w:val="24"/>
              </w:rPr>
              <w:t>2.4-1</w:t>
            </w:r>
            <w:r>
              <w:rPr>
                <w:rFonts w:ascii="Times New Roman" w:eastAsia="楷体" w:hAnsi="Times New Roman" w:cs="Times New Roman"/>
                <w:szCs w:val="24"/>
              </w:rPr>
              <w:t xml:space="preserve"> </w:t>
            </w:r>
            <w:r>
              <w:rPr>
                <w:rFonts w:ascii="Times New Roman" w:eastAsia="楷体" w:hAnsi="Times New Roman" w:cs="Times New Roman"/>
                <w:szCs w:val="24"/>
              </w:rPr>
              <w:t>顶部砝码盘及附属配件（单位：</w:t>
            </w:r>
            <w:r>
              <w:rPr>
                <w:rFonts w:ascii="Times New Roman" w:eastAsia="楷体" w:hAnsi="Times New Roman" w:cs="Times New Roman"/>
                <w:szCs w:val="24"/>
              </w:rPr>
              <w:t>mm</w:t>
            </w:r>
            <w:r>
              <w:rPr>
                <w:rFonts w:ascii="Times New Roman" w:eastAsia="楷体" w:hAnsi="Times New Roman" w:cs="Times New Roman"/>
                <w:szCs w:val="24"/>
              </w:rPr>
              <w:t>）</w:t>
            </w:r>
          </w:p>
        </w:tc>
        <w:tc>
          <w:tcPr>
            <w:tcW w:w="2585" w:type="pct"/>
          </w:tcPr>
          <w:p w14:paraId="3FDDD82C" w14:textId="77777777" w:rsidR="00A84A4C" w:rsidRDefault="00000000">
            <w:pPr>
              <w:spacing w:line="360" w:lineRule="auto"/>
              <w:ind w:firstLineChars="192" w:firstLine="461"/>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hint="eastAsia"/>
                <w:szCs w:val="24"/>
              </w:rPr>
              <w:t>2.4-2</w:t>
            </w:r>
            <w:r>
              <w:rPr>
                <w:rFonts w:ascii="Times New Roman" w:eastAsia="楷体" w:hAnsi="Times New Roman" w:cs="Times New Roman"/>
                <w:szCs w:val="24"/>
              </w:rPr>
              <w:t xml:space="preserve"> </w:t>
            </w:r>
            <w:r>
              <w:rPr>
                <w:rFonts w:ascii="Times New Roman" w:eastAsia="楷体" w:hAnsi="Times New Roman" w:cs="Times New Roman"/>
                <w:szCs w:val="24"/>
              </w:rPr>
              <w:t>顶部砝码（单位：</w:t>
            </w:r>
            <w:r>
              <w:rPr>
                <w:rFonts w:ascii="Times New Roman" w:eastAsia="楷体" w:hAnsi="Times New Roman" w:cs="Times New Roman"/>
                <w:szCs w:val="24"/>
              </w:rPr>
              <w:t>mm</w:t>
            </w:r>
            <w:r>
              <w:rPr>
                <w:rFonts w:ascii="Times New Roman" w:eastAsia="楷体" w:hAnsi="Times New Roman" w:cs="Times New Roman"/>
                <w:szCs w:val="24"/>
              </w:rPr>
              <w:t>）</w:t>
            </w:r>
          </w:p>
        </w:tc>
      </w:tr>
    </w:tbl>
    <w:p w14:paraId="68E59E1E"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螺杆与顶部砝码盘、蝶形螺母、垫片、反光（磁吸）板等配合，用于固定顶部砝码，提供磁吸加速度传感器，连接水平加载钢丝绳，并可反射位移计发出的光以测定位移，如图</w:t>
      </w:r>
      <w:r>
        <w:rPr>
          <w:rFonts w:ascii="Times New Roman" w:eastAsia="楷体" w:hAnsi="Times New Roman" w:cs="Times New Roman" w:hint="eastAsia"/>
        </w:rPr>
        <w:t>2.4-</w:t>
      </w:r>
      <w:r>
        <w:rPr>
          <w:rFonts w:ascii="Times New Roman" w:eastAsia="楷体" w:hAnsi="Times New Roman" w:cs="Times New Roman" w:hint="eastAsia"/>
        </w:rPr>
        <w:lastRenderedPageBreak/>
        <w:t>3</w:t>
      </w:r>
      <w:r>
        <w:rPr>
          <w:rFonts w:ascii="Times New Roman" w:eastAsia="楷体" w:hAnsi="Times New Roman" w:cs="Times New Roman"/>
        </w:rPr>
        <w:t>。</w:t>
      </w:r>
    </w:p>
    <w:p w14:paraId="4BEFC9FA" w14:textId="77777777" w:rsidR="00A84A4C" w:rsidRDefault="00000000">
      <w:pPr>
        <w:spacing w:line="360" w:lineRule="auto"/>
        <w:jc w:val="center"/>
        <w:rPr>
          <w:rFonts w:ascii="Times New Roman" w:eastAsia="楷体" w:hAnsi="Times New Roman" w:cs="Times New Roman"/>
          <w:sz w:val="20"/>
          <w:szCs w:val="20"/>
        </w:rPr>
      </w:pPr>
      <w:r>
        <w:rPr>
          <w:rFonts w:ascii="Times New Roman" w:eastAsia="楷体" w:hAnsi="Times New Roman" w:cs="Times New Roman"/>
          <w:noProof/>
        </w:rPr>
        <w:drawing>
          <wp:inline distT="0" distB="0" distL="0" distR="0" wp14:anchorId="20FDCC23" wp14:editId="438D2113">
            <wp:extent cx="2940050" cy="1730375"/>
            <wp:effectExtent l="0" t="0" r="0" b="317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eastAsia="楷体" w:hAnsi="Times New Roman" w:cs="Times New Roman"/>
        </w:rPr>
        <w:t xml:space="preserve"> </w:t>
      </w:r>
    </w:p>
    <w:p w14:paraId="492456EF" w14:textId="77777777" w:rsidR="00A84A4C" w:rsidRDefault="00000000">
      <w:pPr>
        <w:spacing w:line="360" w:lineRule="auto"/>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hint="eastAsia"/>
          <w:szCs w:val="24"/>
        </w:rPr>
        <w:t>2.4-3</w:t>
      </w:r>
      <w:r>
        <w:rPr>
          <w:rFonts w:ascii="Times New Roman" w:eastAsia="楷体" w:hAnsi="Times New Roman" w:cs="Times New Roman"/>
          <w:szCs w:val="24"/>
        </w:rPr>
        <w:t xml:space="preserve"> </w:t>
      </w:r>
      <w:r>
        <w:rPr>
          <w:rFonts w:ascii="Times New Roman" w:eastAsia="楷体" w:hAnsi="Times New Roman" w:cs="Times New Roman"/>
          <w:szCs w:val="24"/>
        </w:rPr>
        <w:t>顶部质量系统组合图</w:t>
      </w:r>
    </w:p>
    <w:p w14:paraId="1227E3DF"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2.5</w:t>
      </w:r>
      <w:r>
        <w:rPr>
          <w:rFonts w:ascii="Times New Roman" w:eastAsia="楷体" w:hAnsi="Times New Roman" w:cs="Times New Roman"/>
          <w:b/>
        </w:rPr>
        <w:t>位移与加速度量测系统</w:t>
      </w:r>
    </w:p>
    <w:p w14:paraId="1F5D9BB5"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本次竞赛采用加速度传感器测定第一级加载模型顶部加速度，可采用激光位移传感器（位移计）测定第二级加载模型顶部的位移，通过数据采集系统采集数据，传感器固定位置见图</w:t>
      </w:r>
      <w:r>
        <w:rPr>
          <w:rFonts w:ascii="Times New Roman" w:eastAsia="楷体" w:hAnsi="Times New Roman" w:cs="Times New Roman"/>
          <w:kern w:val="0"/>
          <w:szCs w:val="24"/>
        </w:rPr>
        <w:t>1.1-1</w:t>
      </w:r>
      <w:r>
        <w:rPr>
          <w:rFonts w:ascii="Times New Roman" w:eastAsia="楷体" w:hAnsi="Times New Roman" w:cs="Times New Roman"/>
        </w:rPr>
        <w:t xml:space="preserve"> </w:t>
      </w:r>
      <w:r>
        <w:rPr>
          <w:rFonts w:ascii="Times New Roman" w:eastAsia="楷体" w:hAnsi="Times New Roman" w:cs="Times New Roman"/>
        </w:rPr>
        <w:t>、图</w:t>
      </w:r>
      <w:r>
        <w:rPr>
          <w:rFonts w:ascii="Times New Roman" w:eastAsia="楷体" w:hAnsi="Times New Roman" w:cs="Times New Roman" w:hint="eastAsia"/>
        </w:rPr>
        <w:t>2.4-3</w:t>
      </w:r>
      <w:r>
        <w:rPr>
          <w:rFonts w:ascii="Times New Roman" w:eastAsia="楷体" w:hAnsi="Times New Roman" w:cs="Times New Roman"/>
        </w:rPr>
        <w:t>。当采用激光位移传感器测定位移时，激光发射点建议高度为</w:t>
      </w:r>
      <w:r>
        <w:rPr>
          <w:rFonts w:ascii="Times New Roman" w:eastAsia="楷体" w:hAnsi="Times New Roman" w:cs="Times New Roman"/>
          <w:i/>
          <w:iCs/>
        </w:rPr>
        <w:t>H</w:t>
      </w:r>
      <w:r>
        <w:rPr>
          <w:rFonts w:ascii="Times New Roman" w:eastAsia="楷体" w:hAnsi="Times New Roman" w:cs="Times New Roman"/>
        </w:rPr>
        <w:t>+30mm</w:t>
      </w:r>
      <w:r>
        <w:rPr>
          <w:rFonts w:ascii="Times New Roman" w:eastAsia="楷体" w:hAnsi="Times New Roman" w:cs="Times New Roman"/>
        </w:rPr>
        <w:t>，距离振动台中心点水平距离小于</w:t>
      </w:r>
      <w:r>
        <w:rPr>
          <w:rFonts w:ascii="Times New Roman" w:eastAsia="楷体" w:hAnsi="Times New Roman" w:cs="Times New Roman"/>
        </w:rPr>
        <w:t>400mm</w:t>
      </w:r>
      <w:r>
        <w:rPr>
          <w:rFonts w:ascii="Times New Roman" w:eastAsia="楷体" w:hAnsi="Times New Roman" w:cs="Times New Roman"/>
        </w:rPr>
        <w:t>，位移计支架应在测量过程中保持稳定，以保证反光板在加载过程中使位移计可靠示数。</w:t>
      </w:r>
    </w:p>
    <w:p w14:paraId="652B4359"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b/>
        </w:rPr>
        <w:t>2.6</w:t>
      </w:r>
      <w:r>
        <w:rPr>
          <w:rFonts w:ascii="Times New Roman" w:eastAsia="楷体" w:hAnsi="Times New Roman" w:cs="Times New Roman"/>
          <w:b/>
        </w:rPr>
        <w:t>加载辅助框架</w:t>
      </w:r>
    </w:p>
    <w:p w14:paraId="47C389F1"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加载辅助框架为保护绳、位移计、水平加载系统等提供连接、固定功能，如</w:t>
      </w:r>
      <w:r>
        <w:rPr>
          <w:rFonts w:ascii="Times New Roman" w:eastAsia="楷体" w:hAnsi="Times New Roman" w:cs="Times New Roman" w:hint="eastAsia"/>
        </w:rPr>
        <w:t>图</w:t>
      </w:r>
      <w:r>
        <w:rPr>
          <w:rFonts w:ascii="Times New Roman" w:eastAsia="楷体" w:hAnsi="Times New Roman" w:cs="Times New Roman" w:hint="eastAsia"/>
        </w:rPr>
        <w:t xml:space="preserve">1.1-1 </w:t>
      </w:r>
      <w:r>
        <w:rPr>
          <w:rFonts w:ascii="Times New Roman" w:eastAsia="楷体" w:hAnsi="Times New Roman" w:cs="Times New Roman"/>
        </w:rPr>
        <w:t>所示。</w:t>
      </w:r>
    </w:p>
    <w:p w14:paraId="338FCFDF"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t>3.</w:t>
      </w:r>
      <w:r>
        <w:rPr>
          <w:rFonts w:ascii="Times New Roman" w:eastAsia="楷体" w:hAnsi="Times New Roman" w:cs="Times New Roman"/>
          <w:kern w:val="28"/>
          <w:sz w:val="28"/>
          <w:szCs w:val="28"/>
        </w:rPr>
        <w:t>参数的确定</w:t>
      </w:r>
      <w:r>
        <w:rPr>
          <w:rFonts w:ascii="Times New Roman" w:eastAsia="楷体" w:hAnsi="Times New Roman" w:cs="Times New Roman"/>
          <w:kern w:val="28"/>
          <w:sz w:val="28"/>
          <w:szCs w:val="28"/>
        </w:rPr>
        <w:t xml:space="preserve"> </w:t>
      </w:r>
    </w:p>
    <w:p w14:paraId="2F267860" w14:textId="77777777" w:rsidR="00A84A4C" w:rsidRDefault="00000000">
      <w:pPr>
        <w:pStyle w:val="af5"/>
        <w:widowControl/>
        <w:spacing w:line="360" w:lineRule="auto"/>
        <w:ind w:firstLine="480"/>
        <w:rPr>
          <w:rFonts w:ascii="Times New Roman" w:eastAsia="楷体" w:hAnsi="Times New Roman" w:cs="Times New Roman"/>
        </w:rPr>
      </w:pPr>
      <w:r>
        <w:rPr>
          <w:rFonts w:ascii="Times New Roman" w:eastAsia="楷体" w:hAnsi="Times New Roman" w:cs="Times New Roman"/>
        </w:rPr>
        <w:t>表</w:t>
      </w:r>
      <w:r>
        <w:rPr>
          <w:rFonts w:ascii="Times New Roman" w:eastAsia="楷体" w:hAnsi="Times New Roman" w:cs="Times New Roman" w:hint="eastAsia"/>
        </w:rPr>
        <w:t>3-1</w:t>
      </w:r>
      <w:r>
        <w:rPr>
          <w:rFonts w:ascii="Times New Roman" w:eastAsia="楷体" w:hAnsi="Times New Roman" w:cs="Times New Roman"/>
        </w:rPr>
        <w:t>中的参数</w:t>
      </w:r>
      <w:r>
        <w:rPr>
          <w:rFonts w:ascii="Times New Roman" w:eastAsia="楷体" w:hAnsi="Times New Roman" w:cs="Times New Roman" w:hint="eastAsia"/>
        </w:rPr>
        <w:t>为各模型高度的统一参数；表</w:t>
      </w:r>
      <w:r>
        <w:rPr>
          <w:rFonts w:ascii="Times New Roman" w:eastAsia="楷体" w:hAnsi="Times New Roman" w:cs="Times New Roman" w:hint="eastAsia"/>
        </w:rPr>
        <w:t>3-2</w:t>
      </w:r>
      <w:r>
        <w:rPr>
          <w:rFonts w:ascii="Times New Roman" w:eastAsia="楷体" w:hAnsi="Times New Roman" w:cs="Times New Roman" w:hint="eastAsia"/>
        </w:rPr>
        <w:t>中的参数在加载现场</w:t>
      </w:r>
      <w:r>
        <w:rPr>
          <w:rFonts w:ascii="Times New Roman" w:eastAsia="楷体" w:hAnsi="Times New Roman" w:cs="Times New Roman"/>
        </w:rPr>
        <w:t>抽签</w:t>
      </w:r>
      <w:r>
        <w:rPr>
          <w:rFonts w:ascii="Times New Roman" w:eastAsia="楷体" w:hAnsi="Times New Roman" w:cs="Times New Roman" w:hint="eastAsia"/>
        </w:rPr>
        <w:t>或自由申报</w:t>
      </w:r>
      <w:r>
        <w:rPr>
          <w:rFonts w:ascii="Times New Roman" w:eastAsia="楷体" w:hAnsi="Times New Roman" w:cs="Times New Roman"/>
        </w:rPr>
        <w:t>确定，这里（</w:t>
      </w:r>
      <w:r>
        <w:rPr>
          <w:rFonts w:ascii="Times New Roman" w:eastAsia="楷体" w:hAnsi="Times New Roman" w:cs="Times New Roman" w:hint="eastAsia"/>
        </w:rPr>
        <w:t>1</w:t>
      </w:r>
      <w:r>
        <w:rPr>
          <w:rFonts w:ascii="Times New Roman" w:eastAsia="楷体" w:hAnsi="Times New Roman" w:cs="Times New Roman"/>
        </w:rPr>
        <w:t>）参数</w:t>
      </w:r>
      <w:r>
        <w:rPr>
          <w:rFonts w:ascii="Times New Roman" w:eastAsia="楷体" w:hAnsi="Times New Roman" w:cs="Times New Roman" w:hint="eastAsia"/>
        </w:rPr>
        <w:t>在加载现场</w:t>
      </w:r>
      <w:r>
        <w:rPr>
          <w:rFonts w:ascii="Times New Roman" w:eastAsia="楷体" w:hAnsi="Times New Roman" w:cs="Times New Roman"/>
        </w:rPr>
        <w:t>抽签确定，（</w:t>
      </w:r>
      <w:r>
        <w:rPr>
          <w:rFonts w:ascii="Times New Roman" w:eastAsia="楷体" w:hAnsi="Times New Roman" w:cs="Times New Roman" w:hint="eastAsia"/>
        </w:rPr>
        <w:t>2</w:t>
      </w:r>
      <w:r>
        <w:rPr>
          <w:rFonts w:ascii="Times New Roman" w:eastAsia="楷体" w:hAnsi="Times New Roman" w:cs="Times New Roman"/>
        </w:rPr>
        <w:t>）由参赛队伍在竞赛第一个模型加载开始前确定并上报，加载时不可更改。</w:t>
      </w:r>
    </w:p>
    <w:p w14:paraId="71E4D6F6" w14:textId="77777777" w:rsidR="00A84A4C" w:rsidRDefault="00000000">
      <w:pPr>
        <w:rPr>
          <w:rFonts w:ascii="Times New Roman" w:eastAsia="楷体" w:hAnsi="Times New Roman" w:cs="Times New Roman"/>
          <w:szCs w:val="24"/>
        </w:rPr>
      </w:pPr>
      <w:r>
        <w:rPr>
          <w:rFonts w:ascii="Times New Roman" w:eastAsia="楷体" w:hAnsi="Times New Roman" w:cs="Times New Roman"/>
          <w:szCs w:val="24"/>
        </w:rPr>
        <w:br w:type="page"/>
      </w:r>
    </w:p>
    <w:p w14:paraId="73177E45" w14:textId="77777777" w:rsidR="00A84A4C" w:rsidRDefault="00000000">
      <w:pPr>
        <w:pStyle w:val="a5"/>
        <w:spacing w:line="360" w:lineRule="auto"/>
        <w:jc w:val="center"/>
        <w:rPr>
          <w:rFonts w:ascii="Times New Roman" w:eastAsia="楷体" w:hAnsi="Times New Roman" w:cs="Times New Roman"/>
          <w:sz w:val="24"/>
          <w:szCs w:val="24"/>
        </w:rPr>
      </w:pPr>
      <w:r>
        <w:rPr>
          <w:rFonts w:ascii="Times New Roman" w:eastAsia="楷体" w:hAnsi="Times New Roman" w:cs="Times New Roman"/>
          <w:sz w:val="24"/>
          <w:szCs w:val="24"/>
        </w:rPr>
        <w:lastRenderedPageBreak/>
        <w:t>表</w:t>
      </w:r>
      <w:r>
        <w:rPr>
          <w:rFonts w:ascii="Times New Roman" w:eastAsia="楷体" w:hAnsi="Times New Roman" w:cs="Times New Roman" w:hint="eastAsia"/>
          <w:sz w:val="24"/>
          <w:szCs w:val="24"/>
        </w:rPr>
        <w:t>3-1</w:t>
      </w:r>
      <w:r>
        <w:rPr>
          <w:rFonts w:ascii="Times New Roman" w:eastAsia="楷体" w:hAnsi="Times New Roman" w:cs="Times New Roman"/>
          <w:sz w:val="24"/>
          <w:szCs w:val="24"/>
        </w:rPr>
        <w:t xml:space="preserve"> </w:t>
      </w:r>
      <w:r>
        <w:rPr>
          <w:rFonts w:ascii="Times New Roman" w:eastAsia="楷体" w:hAnsi="Times New Roman" w:cs="Times New Roman"/>
          <w:sz w:val="24"/>
          <w:szCs w:val="24"/>
        </w:rPr>
        <w:t>模型制作参数</w:t>
      </w:r>
    </w:p>
    <w:tbl>
      <w:tblPr>
        <w:tblStyle w:val="af2"/>
        <w:tblW w:w="4982" w:type="pct"/>
        <w:jc w:val="center"/>
        <w:tblLayout w:type="fixed"/>
        <w:tblLook w:val="04A0" w:firstRow="1" w:lastRow="0" w:firstColumn="1" w:lastColumn="0" w:noHBand="0" w:noVBand="1"/>
      </w:tblPr>
      <w:tblGrid>
        <w:gridCol w:w="2040"/>
        <w:gridCol w:w="1102"/>
        <w:gridCol w:w="1035"/>
        <w:gridCol w:w="1088"/>
        <w:gridCol w:w="1145"/>
        <w:gridCol w:w="3183"/>
      </w:tblGrid>
      <w:tr w:rsidR="00A84A4C" w14:paraId="500F8781" w14:textId="77777777">
        <w:trPr>
          <w:jc w:val="center"/>
        </w:trPr>
        <w:tc>
          <w:tcPr>
            <w:tcW w:w="1063" w:type="pct"/>
            <w:vMerge w:val="restart"/>
            <w:vAlign w:val="center"/>
          </w:tcPr>
          <w:p w14:paraId="67541446"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参数名称</w:t>
            </w:r>
          </w:p>
        </w:tc>
        <w:tc>
          <w:tcPr>
            <w:tcW w:w="2277" w:type="pct"/>
            <w:gridSpan w:val="4"/>
            <w:vAlign w:val="center"/>
          </w:tcPr>
          <w:p w14:paraId="1F9AC156" w14:textId="77777777" w:rsidR="00A84A4C" w:rsidRDefault="00000000">
            <w:pPr>
              <w:pStyle w:val="af5"/>
              <w:widowControl/>
              <w:spacing w:line="360" w:lineRule="auto"/>
              <w:ind w:firstLine="480"/>
              <w:jc w:val="center"/>
              <w:rPr>
                <w:rFonts w:ascii="Times New Roman" w:eastAsia="楷体" w:hAnsi="Times New Roman" w:cs="Times New Roman"/>
                <w:szCs w:val="24"/>
              </w:rPr>
            </w:pPr>
            <w:r>
              <w:rPr>
                <w:rFonts w:ascii="Times New Roman" w:eastAsia="楷体" w:hAnsi="Times New Roman" w:cs="Times New Roman"/>
                <w:szCs w:val="24"/>
              </w:rPr>
              <w:t>取值范围</w:t>
            </w:r>
          </w:p>
        </w:tc>
        <w:tc>
          <w:tcPr>
            <w:tcW w:w="1658" w:type="pct"/>
            <w:vMerge w:val="restart"/>
            <w:vAlign w:val="center"/>
          </w:tcPr>
          <w:p w14:paraId="0EF7B60B"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取值要求</w:t>
            </w:r>
          </w:p>
        </w:tc>
      </w:tr>
      <w:tr w:rsidR="00A84A4C" w14:paraId="144EB63F" w14:textId="77777777">
        <w:trPr>
          <w:jc w:val="center"/>
        </w:trPr>
        <w:tc>
          <w:tcPr>
            <w:tcW w:w="1063" w:type="pct"/>
            <w:vMerge/>
            <w:vAlign w:val="center"/>
          </w:tcPr>
          <w:p w14:paraId="7ECE52F3" w14:textId="77777777" w:rsidR="00A84A4C" w:rsidRDefault="00A84A4C">
            <w:pPr>
              <w:pStyle w:val="af5"/>
              <w:widowControl/>
              <w:spacing w:line="360" w:lineRule="auto"/>
              <w:ind w:firstLineChars="0" w:firstLine="0"/>
              <w:jc w:val="center"/>
              <w:rPr>
                <w:rFonts w:ascii="Times New Roman" w:eastAsia="楷体" w:hAnsi="Times New Roman" w:cs="Times New Roman"/>
                <w:szCs w:val="24"/>
              </w:rPr>
            </w:pPr>
          </w:p>
        </w:tc>
        <w:tc>
          <w:tcPr>
            <w:tcW w:w="574" w:type="pct"/>
            <w:vAlign w:val="center"/>
          </w:tcPr>
          <w:p w14:paraId="4C51347B"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800mm</w:t>
            </w:r>
          </w:p>
        </w:tc>
        <w:tc>
          <w:tcPr>
            <w:tcW w:w="539" w:type="pct"/>
            <w:vAlign w:val="center"/>
          </w:tcPr>
          <w:p w14:paraId="6257246E"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900mm</w:t>
            </w:r>
          </w:p>
        </w:tc>
        <w:tc>
          <w:tcPr>
            <w:tcW w:w="567" w:type="pct"/>
            <w:vAlign w:val="center"/>
          </w:tcPr>
          <w:p w14:paraId="441D7052"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1000mm</w:t>
            </w:r>
          </w:p>
        </w:tc>
        <w:tc>
          <w:tcPr>
            <w:tcW w:w="595" w:type="pct"/>
            <w:vAlign w:val="center"/>
          </w:tcPr>
          <w:p w14:paraId="386AC3E5"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szCs w:val="24"/>
              </w:rPr>
              <w:t>1100mm</w:t>
            </w:r>
          </w:p>
        </w:tc>
        <w:tc>
          <w:tcPr>
            <w:tcW w:w="1658" w:type="pct"/>
            <w:vMerge/>
            <w:vAlign w:val="center"/>
          </w:tcPr>
          <w:p w14:paraId="72E9F451" w14:textId="77777777" w:rsidR="00A84A4C" w:rsidRDefault="00A84A4C">
            <w:pPr>
              <w:pStyle w:val="af5"/>
              <w:widowControl/>
              <w:spacing w:line="360" w:lineRule="auto"/>
              <w:ind w:firstLine="480"/>
              <w:jc w:val="center"/>
              <w:rPr>
                <w:rFonts w:ascii="Times New Roman" w:eastAsia="楷体" w:hAnsi="Times New Roman" w:cs="Times New Roman"/>
                <w:szCs w:val="24"/>
              </w:rPr>
            </w:pPr>
          </w:p>
        </w:tc>
      </w:tr>
      <w:tr w:rsidR="00A84A4C" w14:paraId="5ACFE6C2" w14:textId="77777777">
        <w:trPr>
          <w:jc w:val="center"/>
        </w:trPr>
        <w:tc>
          <w:tcPr>
            <w:tcW w:w="1063" w:type="pct"/>
            <w:vAlign w:val="center"/>
          </w:tcPr>
          <w:p w14:paraId="2AB25B3E" w14:textId="77777777" w:rsidR="00A84A4C" w:rsidRDefault="00000000">
            <w:pPr>
              <w:pStyle w:val="af5"/>
              <w:widowControl/>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模型顶部质量系统总质量</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1</w:t>
            </w:r>
          </w:p>
        </w:tc>
        <w:tc>
          <w:tcPr>
            <w:tcW w:w="574" w:type="pct"/>
            <w:vAlign w:val="center"/>
          </w:tcPr>
          <w:p w14:paraId="17631086"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5</w:t>
            </w:r>
            <w:r>
              <w:rPr>
                <w:rFonts w:ascii="Times New Roman" w:eastAsia="楷体" w:hAnsi="Times New Roman" w:cs="Times New Roman" w:hint="eastAsia"/>
                <w:kern w:val="0"/>
                <w:szCs w:val="24"/>
              </w:rPr>
              <w:t>.0</w:t>
            </w:r>
            <w:r>
              <w:rPr>
                <w:rFonts w:ascii="Times New Roman" w:eastAsia="楷体" w:hAnsi="Times New Roman" w:cs="Times New Roman"/>
                <w:kern w:val="0"/>
                <w:szCs w:val="24"/>
              </w:rPr>
              <w:t>kg</w:t>
            </w:r>
          </w:p>
        </w:tc>
        <w:tc>
          <w:tcPr>
            <w:tcW w:w="539" w:type="pct"/>
            <w:vAlign w:val="center"/>
          </w:tcPr>
          <w:p w14:paraId="4E7DA498"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4.</w:t>
            </w:r>
            <w:r>
              <w:rPr>
                <w:rFonts w:ascii="Times New Roman" w:eastAsia="楷体" w:hAnsi="Times New Roman" w:cs="Times New Roman"/>
                <w:kern w:val="0"/>
                <w:szCs w:val="24"/>
              </w:rPr>
              <w:t>5kg</w:t>
            </w:r>
          </w:p>
        </w:tc>
        <w:tc>
          <w:tcPr>
            <w:tcW w:w="567" w:type="pct"/>
            <w:vAlign w:val="center"/>
          </w:tcPr>
          <w:p w14:paraId="452032BC"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4.0</w:t>
            </w:r>
            <w:r>
              <w:rPr>
                <w:rFonts w:ascii="Times New Roman" w:eastAsia="楷体" w:hAnsi="Times New Roman" w:cs="Times New Roman"/>
                <w:kern w:val="0"/>
                <w:szCs w:val="24"/>
              </w:rPr>
              <w:t>kg</w:t>
            </w:r>
          </w:p>
        </w:tc>
        <w:tc>
          <w:tcPr>
            <w:tcW w:w="595" w:type="pct"/>
            <w:vAlign w:val="center"/>
          </w:tcPr>
          <w:p w14:paraId="7F473620"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3.</w:t>
            </w:r>
            <w:r>
              <w:rPr>
                <w:rFonts w:ascii="Times New Roman" w:eastAsia="楷体" w:hAnsi="Times New Roman" w:cs="Times New Roman"/>
                <w:kern w:val="0"/>
                <w:szCs w:val="24"/>
              </w:rPr>
              <w:t>5kg</w:t>
            </w:r>
          </w:p>
        </w:tc>
        <w:tc>
          <w:tcPr>
            <w:tcW w:w="1658" w:type="pct"/>
            <w:vMerge w:val="restart"/>
            <w:vAlign w:val="center"/>
          </w:tcPr>
          <w:p w14:paraId="69F4760A" w14:textId="77777777" w:rsidR="00A84A4C" w:rsidRDefault="00000000">
            <w:pPr>
              <w:pStyle w:val="af5"/>
              <w:widowControl/>
              <w:ind w:firstLineChars="0" w:firstLine="0"/>
              <w:rPr>
                <w:rFonts w:ascii="楷体" w:eastAsia="楷体" w:hAnsi="楷体" w:cs="楷体" w:hint="eastAsia"/>
                <w:kern w:val="0"/>
                <w:szCs w:val="24"/>
                <w:lang w:bidi="ar"/>
              </w:rPr>
            </w:pPr>
            <w:r>
              <w:rPr>
                <w:rFonts w:ascii="楷体" w:eastAsia="楷体" w:hAnsi="楷体" w:cs="楷体" w:hint="eastAsia"/>
                <w:kern w:val="0"/>
                <w:szCs w:val="24"/>
                <w:lang w:bidi="ar"/>
              </w:rPr>
              <w:t>各指导老师带队模型高度确定要求：</w:t>
            </w:r>
          </w:p>
          <w:p w14:paraId="626146C1" w14:textId="77777777" w:rsidR="00A84A4C" w:rsidRDefault="00000000">
            <w:pPr>
              <w:pStyle w:val="af5"/>
              <w:widowControl/>
              <w:ind w:firstLineChars="0" w:firstLine="0"/>
              <w:rPr>
                <w:rFonts w:ascii="楷体" w:eastAsia="楷体" w:hAnsi="楷体" w:cs="楷体" w:hint="eastAsia"/>
                <w:kern w:val="0"/>
                <w:szCs w:val="24"/>
                <w:lang w:bidi="ar"/>
              </w:rPr>
            </w:pPr>
            <w:r>
              <w:rPr>
                <w:rFonts w:ascii="楷体" w:eastAsia="楷体" w:hAnsi="楷体" w:cs="楷体" w:hint="eastAsia"/>
                <w:kern w:val="0"/>
                <w:szCs w:val="24"/>
                <w:lang w:bidi="ar"/>
              </w:rPr>
              <w:t>（1）指导1支队伍时，模型高度四选一；</w:t>
            </w:r>
          </w:p>
          <w:p w14:paraId="48E4543F" w14:textId="77777777" w:rsidR="00A84A4C" w:rsidRDefault="00000000">
            <w:pPr>
              <w:pStyle w:val="af5"/>
              <w:widowControl/>
              <w:ind w:firstLineChars="0" w:firstLine="0"/>
              <w:rPr>
                <w:rFonts w:ascii="楷体" w:eastAsia="楷体" w:hAnsi="楷体" w:cs="楷体" w:hint="eastAsia"/>
                <w:kern w:val="0"/>
                <w:szCs w:val="24"/>
                <w:lang w:bidi="ar"/>
              </w:rPr>
            </w:pPr>
            <w:r>
              <w:rPr>
                <w:rFonts w:ascii="楷体" w:eastAsia="楷体" w:hAnsi="楷体" w:cs="楷体" w:hint="eastAsia"/>
                <w:kern w:val="0"/>
                <w:szCs w:val="24"/>
                <w:lang w:bidi="ar"/>
              </w:rPr>
              <w:t>（2）指导2支队伍时，模型高度可选800高与1000高组合或900高与1100高组合，不能随意四选二；</w:t>
            </w:r>
          </w:p>
          <w:p w14:paraId="7A80D192" w14:textId="77777777" w:rsidR="00A84A4C" w:rsidRDefault="00000000">
            <w:pPr>
              <w:pStyle w:val="af5"/>
              <w:widowControl/>
              <w:ind w:firstLineChars="0" w:firstLine="0"/>
              <w:rPr>
                <w:rFonts w:ascii="楷体" w:eastAsia="楷体" w:hAnsi="楷体" w:cs="楷体" w:hint="eastAsia"/>
                <w:kern w:val="0"/>
                <w:szCs w:val="24"/>
                <w:lang w:bidi="ar"/>
              </w:rPr>
            </w:pPr>
            <w:r>
              <w:rPr>
                <w:rFonts w:ascii="楷体" w:eastAsia="楷体" w:hAnsi="楷体" w:cs="楷体" w:hint="eastAsia"/>
                <w:kern w:val="0"/>
                <w:szCs w:val="24"/>
                <w:lang w:bidi="ar"/>
              </w:rPr>
              <w:t xml:space="preserve">（3）指导 </w:t>
            </w:r>
            <w:r>
              <w:rPr>
                <w:rFonts w:ascii="楷体" w:eastAsia="楷体" w:hAnsi="楷体" w:cs="楷体"/>
                <w:kern w:val="0"/>
                <w:szCs w:val="24"/>
                <w:lang w:bidi="ar"/>
              </w:rPr>
              <w:t>3-4</w:t>
            </w:r>
            <w:r>
              <w:rPr>
                <w:rFonts w:ascii="楷体" w:eastAsia="楷体" w:hAnsi="楷体" w:cs="楷体" w:hint="eastAsia"/>
                <w:kern w:val="0"/>
                <w:szCs w:val="24"/>
                <w:lang w:bidi="ar"/>
              </w:rPr>
              <w:t>支队伍按四选三（或四选四）确定参赛，确保同一指导老师各队伍设计参数不同；</w:t>
            </w:r>
          </w:p>
          <w:p w14:paraId="3AF4C254" w14:textId="77777777" w:rsidR="00A84A4C" w:rsidRDefault="00000000">
            <w:pPr>
              <w:pStyle w:val="af5"/>
              <w:widowControl/>
              <w:ind w:firstLineChars="0" w:firstLine="0"/>
              <w:rPr>
                <w:rFonts w:ascii="Times New Roman" w:eastAsia="楷体" w:hAnsi="Times New Roman" w:cs="Times New Roman"/>
                <w:szCs w:val="24"/>
              </w:rPr>
            </w:pPr>
            <w:r>
              <w:rPr>
                <w:rFonts w:ascii="楷体" w:eastAsia="楷体" w:hAnsi="楷体" w:cs="楷体" w:hint="eastAsia"/>
                <w:kern w:val="0"/>
                <w:szCs w:val="24"/>
                <w:lang w:bidi="ar"/>
              </w:rPr>
              <w:t>（4）指导超过4支队伍时，超过的队伍重复以上方法确定模型高度。</w:t>
            </w:r>
          </w:p>
        </w:tc>
      </w:tr>
      <w:tr w:rsidR="00A84A4C" w14:paraId="2A80E6EF" w14:textId="77777777">
        <w:trPr>
          <w:jc w:val="center"/>
        </w:trPr>
        <w:tc>
          <w:tcPr>
            <w:tcW w:w="1063" w:type="pct"/>
            <w:vAlign w:val="center"/>
          </w:tcPr>
          <w:p w14:paraId="74D47CEF" w14:textId="77777777" w:rsidR="00A84A4C" w:rsidRDefault="00000000">
            <w:pPr>
              <w:pStyle w:val="af5"/>
              <w:widowControl/>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第二级加载砝码质量（不含砝码盘）</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2</w:t>
            </w:r>
          </w:p>
        </w:tc>
        <w:tc>
          <w:tcPr>
            <w:tcW w:w="574" w:type="pct"/>
            <w:vAlign w:val="center"/>
          </w:tcPr>
          <w:p w14:paraId="16C9E293"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5</w:t>
            </w:r>
            <w:r>
              <w:rPr>
                <w:rFonts w:ascii="Times New Roman" w:eastAsia="楷体" w:hAnsi="Times New Roman" w:cs="Times New Roman" w:hint="eastAsia"/>
                <w:kern w:val="0"/>
                <w:szCs w:val="24"/>
              </w:rPr>
              <w:t>.0</w:t>
            </w:r>
            <w:r>
              <w:rPr>
                <w:rFonts w:ascii="Times New Roman" w:eastAsia="楷体" w:hAnsi="Times New Roman" w:cs="Times New Roman"/>
                <w:kern w:val="0"/>
                <w:szCs w:val="24"/>
              </w:rPr>
              <w:t>kg</w:t>
            </w:r>
          </w:p>
        </w:tc>
        <w:tc>
          <w:tcPr>
            <w:tcW w:w="539" w:type="pct"/>
            <w:vAlign w:val="center"/>
          </w:tcPr>
          <w:p w14:paraId="5A05DDB8"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4.</w:t>
            </w:r>
            <w:r>
              <w:rPr>
                <w:rFonts w:ascii="Times New Roman" w:eastAsia="楷体" w:hAnsi="Times New Roman" w:cs="Times New Roman"/>
                <w:kern w:val="0"/>
                <w:szCs w:val="24"/>
              </w:rPr>
              <w:t>5kg</w:t>
            </w:r>
          </w:p>
        </w:tc>
        <w:tc>
          <w:tcPr>
            <w:tcW w:w="567" w:type="pct"/>
            <w:vAlign w:val="center"/>
          </w:tcPr>
          <w:p w14:paraId="2E17BE27"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4.0</w:t>
            </w:r>
            <w:r>
              <w:rPr>
                <w:rFonts w:ascii="Times New Roman" w:eastAsia="楷体" w:hAnsi="Times New Roman" w:cs="Times New Roman"/>
                <w:kern w:val="0"/>
                <w:szCs w:val="24"/>
              </w:rPr>
              <w:t>kg</w:t>
            </w:r>
          </w:p>
        </w:tc>
        <w:tc>
          <w:tcPr>
            <w:tcW w:w="595" w:type="pct"/>
            <w:vAlign w:val="center"/>
          </w:tcPr>
          <w:p w14:paraId="5FE69DA1"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hint="eastAsia"/>
                <w:kern w:val="0"/>
                <w:szCs w:val="24"/>
              </w:rPr>
              <w:t>3.</w:t>
            </w:r>
            <w:r>
              <w:rPr>
                <w:rFonts w:ascii="Times New Roman" w:eastAsia="楷体" w:hAnsi="Times New Roman" w:cs="Times New Roman"/>
                <w:kern w:val="0"/>
                <w:szCs w:val="24"/>
              </w:rPr>
              <w:t>5kg</w:t>
            </w:r>
          </w:p>
        </w:tc>
        <w:tc>
          <w:tcPr>
            <w:tcW w:w="1658" w:type="pct"/>
            <w:vMerge/>
            <w:vAlign w:val="center"/>
          </w:tcPr>
          <w:p w14:paraId="2D3A23EC" w14:textId="77777777" w:rsidR="00A84A4C" w:rsidRDefault="00A84A4C">
            <w:pPr>
              <w:pStyle w:val="af5"/>
              <w:widowControl/>
              <w:spacing w:line="360" w:lineRule="auto"/>
              <w:ind w:firstLine="480"/>
              <w:jc w:val="center"/>
              <w:rPr>
                <w:rFonts w:ascii="Times New Roman" w:eastAsia="楷体" w:hAnsi="Times New Roman" w:cs="Times New Roman"/>
                <w:szCs w:val="24"/>
              </w:rPr>
            </w:pPr>
          </w:p>
        </w:tc>
      </w:tr>
      <w:tr w:rsidR="00A84A4C" w14:paraId="735E6A12" w14:textId="77777777">
        <w:trPr>
          <w:jc w:val="center"/>
        </w:trPr>
        <w:tc>
          <w:tcPr>
            <w:tcW w:w="1063" w:type="pct"/>
            <w:vAlign w:val="center"/>
          </w:tcPr>
          <w:p w14:paraId="2E281C44" w14:textId="77777777"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第二级加载位移限值</w:t>
            </w:r>
            <w:r>
              <w:rPr>
                <w:rFonts w:ascii="Times New Roman" w:eastAsia="楷体" w:hAnsi="Times New Roman" w:cs="Times New Roman"/>
                <w:i/>
                <w:iCs/>
                <w:kern w:val="0"/>
                <w:szCs w:val="24"/>
              </w:rPr>
              <w:t>u</w:t>
            </w:r>
            <w:r>
              <w:rPr>
                <w:rFonts w:ascii="Times New Roman" w:eastAsia="楷体" w:hAnsi="Times New Roman" w:cs="Times New Roman"/>
                <w:kern w:val="0"/>
                <w:szCs w:val="24"/>
                <w:vertAlign w:val="subscript"/>
              </w:rPr>
              <w:t>0</w:t>
            </w:r>
          </w:p>
        </w:tc>
        <w:tc>
          <w:tcPr>
            <w:tcW w:w="2277" w:type="pct"/>
            <w:gridSpan w:val="4"/>
            <w:vAlign w:val="center"/>
          </w:tcPr>
          <w:p w14:paraId="53D13471" w14:textId="056FC514" w:rsidR="00A84A4C" w:rsidRDefault="00000000">
            <w:pPr>
              <w:pStyle w:val="af5"/>
              <w:widowControl/>
              <w:spacing w:line="360" w:lineRule="auto"/>
              <w:ind w:firstLineChars="0" w:firstLine="0"/>
              <w:jc w:val="center"/>
              <w:rPr>
                <w:rFonts w:ascii="Times New Roman" w:eastAsia="楷体" w:hAnsi="Times New Roman" w:cs="Times New Roman"/>
                <w:szCs w:val="24"/>
              </w:rPr>
            </w:pPr>
            <w:r>
              <w:rPr>
                <w:rFonts w:ascii="Times New Roman" w:eastAsia="楷体" w:hAnsi="Times New Roman" w:cs="Times New Roman"/>
                <w:kern w:val="0"/>
                <w:szCs w:val="24"/>
              </w:rPr>
              <w:t>2</w:t>
            </w:r>
            <w:r w:rsidR="009527A0">
              <w:rPr>
                <w:rFonts w:ascii="Times New Roman" w:eastAsia="楷体" w:hAnsi="Times New Roman" w:cs="Times New Roman" w:hint="eastAsia"/>
                <w:kern w:val="0"/>
                <w:szCs w:val="24"/>
              </w:rPr>
              <w:t>5</w:t>
            </w:r>
            <w:r>
              <w:rPr>
                <w:rFonts w:ascii="Times New Roman" w:eastAsia="楷体" w:hAnsi="Times New Roman" w:cs="Times New Roman"/>
                <w:kern w:val="0"/>
                <w:szCs w:val="24"/>
              </w:rPr>
              <w:t>mm</w:t>
            </w:r>
          </w:p>
        </w:tc>
        <w:tc>
          <w:tcPr>
            <w:tcW w:w="1658" w:type="pct"/>
            <w:vMerge/>
            <w:vAlign w:val="center"/>
          </w:tcPr>
          <w:p w14:paraId="1BD5C7CB" w14:textId="77777777" w:rsidR="00A84A4C" w:rsidRDefault="00A84A4C">
            <w:pPr>
              <w:pStyle w:val="af5"/>
              <w:widowControl/>
              <w:spacing w:line="360" w:lineRule="auto"/>
              <w:ind w:firstLine="480"/>
              <w:jc w:val="center"/>
              <w:rPr>
                <w:rFonts w:ascii="Times New Roman" w:eastAsia="楷体" w:hAnsi="Times New Roman" w:cs="Times New Roman"/>
                <w:szCs w:val="24"/>
              </w:rPr>
            </w:pPr>
          </w:p>
        </w:tc>
      </w:tr>
      <w:tr w:rsidR="00A84A4C" w14:paraId="7B84477E" w14:textId="77777777">
        <w:trPr>
          <w:jc w:val="center"/>
        </w:trPr>
        <w:tc>
          <w:tcPr>
            <w:tcW w:w="1063" w:type="pct"/>
            <w:vAlign w:val="center"/>
          </w:tcPr>
          <w:p w14:paraId="08181EA4" w14:textId="77777777" w:rsidR="00A84A4C" w:rsidRDefault="00000000">
            <w:pPr>
              <w:pStyle w:val="af5"/>
              <w:widowControl/>
              <w:ind w:firstLineChars="0" w:firstLine="0"/>
              <w:jc w:val="center"/>
              <w:rPr>
                <w:rFonts w:ascii="Times New Roman" w:eastAsia="楷体" w:hAnsi="Times New Roman" w:cs="Times New Roman"/>
                <w:kern w:val="0"/>
                <w:szCs w:val="24"/>
              </w:rPr>
            </w:pPr>
            <w:r>
              <w:rPr>
                <w:rFonts w:ascii="Times New Roman" w:eastAsia="楷体" w:hAnsi="Times New Roman" w:cs="Times New Roman"/>
                <w:kern w:val="0"/>
                <w:szCs w:val="24"/>
              </w:rPr>
              <w:t>第三级加载振动频率</w:t>
            </w:r>
            <w:r>
              <w:rPr>
                <w:rFonts w:ascii="Times New Roman" w:eastAsia="楷体" w:hAnsi="Times New Roman" w:cs="Times New Roman"/>
                <w:i/>
                <w:iCs/>
                <w:kern w:val="0"/>
                <w:szCs w:val="24"/>
              </w:rPr>
              <w:t>f</w:t>
            </w:r>
            <w:r>
              <w:rPr>
                <w:rFonts w:ascii="Times New Roman" w:eastAsia="楷体" w:hAnsi="Times New Roman" w:cs="Times New Roman"/>
                <w:kern w:val="0"/>
                <w:szCs w:val="24"/>
                <w:vertAlign w:val="subscript"/>
              </w:rPr>
              <w:t>3</w:t>
            </w:r>
          </w:p>
        </w:tc>
        <w:tc>
          <w:tcPr>
            <w:tcW w:w="2277" w:type="pct"/>
            <w:gridSpan w:val="4"/>
            <w:vAlign w:val="center"/>
          </w:tcPr>
          <w:p w14:paraId="205C34D9" w14:textId="77777777" w:rsidR="00A84A4C" w:rsidRDefault="00000000">
            <w:pPr>
              <w:pStyle w:val="af5"/>
              <w:widowControl/>
              <w:spacing w:line="360" w:lineRule="auto"/>
              <w:ind w:firstLineChars="0" w:firstLine="0"/>
              <w:jc w:val="center"/>
              <w:rPr>
                <w:rFonts w:ascii="Times New Roman" w:eastAsia="楷体" w:hAnsi="Times New Roman" w:cs="Times New Roman"/>
                <w:kern w:val="0"/>
                <w:szCs w:val="24"/>
              </w:rPr>
            </w:pPr>
            <w:r>
              <w:rPr>
                <w:rFonts w:ascii="Times New Roman" w:eastAsia="楷体" w:hAnsi="Times New Roman" w:cs="Times New Roman" w:hint="eastAsia"/>
                <w:kern w:val="0"/>
                <w:szCs w:val="24"/>
              </w:rPr>
              <w:t>4</w:t>
            </w:r>
            <w:r>
              <w:rPr>
                <w:rFonts w:ascii="Times New Roman" w:eastAsia="楷体" w:hAnsi="Times New Roman" w:cs="Times New Roman"/>
                <w:kern w:val="0"/>
                <w:szCs w:val="24"/>
              </w:rPr>
              <w:t>Hz</w:t>
            </w:r>
          </w:p>
        </w:tc>
        <w:tc>
          <w:tcPr>
            <w:tcW w:w="1658" w:type="pct"/>
            <w:vMerge/>
            <w:vAlign w:val="center"/>
          </w:tcPr>
          <w:p w14:paraId="0C643650" w14:textId="77777777" w:rsidR="00A84A4C" w:rsidRDefault="00A84A4C">
            <w:pPr>
              <w:pStyle w:val="af5"/>
              <w:widowControl/>
              <w:spacing w:line="360" w:lineRule="auto"/>
              <w:ind w:firstLine="480"/>
              <w:jc w:val="center"/>
              <w:rPr>
                <w:rFonts w:ascii="Times New Roman" w:eastAsia="楷体" w:hAnsi="Times New Roman" w:cs="Times New Roman"/>
                <w:szCs w:val="24"/>
              </w:rPr>
            </w:pPr>
          </w:p>
        </w:tc>
      </w:tr>
    </w:tbl>
    <w:p w14:paraId="1CB7A1F7" w14:textId="77777777" w:rsidR="00A84A4C" w:rsidRDefault="00000000">
      <w:pPr>
        <w:pStyle w:val="a5"/>
        <w:spacing w:line="360" w:lineRule="auto"/>
        <w:jc w:val="center"/>
        <w:rPr>
          <w:rFonts w:ascii="Times New Roman" w:eastAsia="楷体" w:hAnsi="Times New Roman" w:cs="Times New Roman"/>
          <w:sz w:val="24"/>
          <w:szCs w:val="24"/>
        </w:rPr>
      </w:pPr>
      <w:r>
        <w:rPr>
          <w:rFonts w:ascii="Times New Roman" w:eastAsia="楷体" w:hAnsi="Times New Roman" w:cs="Times New Roman"/>
          <w:sz w:val="24"/>
          <w:szCs w:val="24"/>
        </w:rPr>
        <w:t>表</w:t>
      </w:r>
      <w:r>
        <w:rPr>
          <w:rFonts w:ascii="Times New Roman" w:eastAsia="楷体" w:hAnsi="Times New Roman" w:cs="Times New Roman" w:hint="eastAsia"/>
          <w:sz w:val="24"/>
          <w:szCs w:val="24"/>
        </w:rPr>
        <w:t>3-2</w:t>
      </w:r>
      <w:r>
        <w:rPr>
          <w:rFonts w:ascii="Times New Roman" w:eastAsia="楷体" w:hAnsi="Times New Roman" w:cs="Times New Roman"/>
          <w:sz w:val="24"/>
          <w:szCs w:val="24"/>
        </w:rPr>
        <w:t xml:space="preserve"> </w:t>
      </w:r>
      <w:r>
        <w:rPr>
          <w:rFonts w:ascii="Times New Roman" w:eastAsia="楷体" w:hAnsi="Times New Roman" w:cs="Times New Roman" w:hint="eastAsia"/>
          <w:sz w:val="24"/>
          <w:szCs w:val="24"/>
        </w:rPr>
        <w:t>现场抽签的统一</w:t>
      </w:r>
      <w:r>
        <w:rPr>
          <w:rFonts w:ascii="Times New Roman" w:eastAsia="楷体" w:hAnsi="Times New Roman" w:cs="Times New Roman"/>
          <w:sz w:val="24"/>
          <w:szCs w:val="24"/>
        </w:rPr>
        <w:t>参数</w:t>
      </w:r>
    </w:p>
    <w:tbl>
      <w:tblPr>
        <w:tblStyle w:val="af2"/>
        <w:tblW w:w="5000" w:type="pct"/>
        <w:jc w:val="center"/>
        <w:tblLook w:val="04A0" w:firstRow="1" w:lastRow="0" w:firstColumn="1" w:lastColumn="0" w:noHBand="0" w:noVBand="1"/>
      </w:tblPr>
      <w:tblGrid>
        <w:gridCol w:w="3119"/>
        <w:gridCol w:w="6509"/>
      </w:tblGrid>
      <w:tr w:rsidR="00A84A4C" w14:paraId="4A22DEAD" w14:textId="77777777">
        <w:trPr>
          <w:jc w:val="center"/>
        </w:trPr>
        <w:tc>
          <w:tcPr>
            <w:tcW w:w="1620" w:type="pct"/>
          </w:tcPr>
          <w:p w14:paraId="4BCD3781" w14:textId="77777777" w:rsidR="00A84A4C"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参数名称</w:t>
            </w:r>
          </w:p>
        </w:tc>
        <w:tc>
          <w:tcPr>
            <w:tcW w:w="3379" w:type="pct"/>
          </w:tcPr>
          <w:p w14:paraId="1AD7213D" w14:textId="77777777" w:rsidR="00A84A4C"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取值范围</w:t>
            </w:r>
          </w:p>
        </w:tc>
      </w:tr>
      <w:tr w:rsidR="00A84A4C" w14:paraId="1F45B5F5" w14:textId="77777777">
        <w:trPr>
          <w:jc w:val="center"/>
        </w:trPr>
        <w:tc>
          <w:tcPr>
            <w:tcW w:w="1620" w:type="pct"/>
          </w:tcPr>
          <w:p w14:paraId="36C5718F" w14:textId="77777777" w:rsidR="00A84A4C" w:rsidRDefault="00000000">
            <w:pPr>
              <w:widowControl/>
              <w:spacing w:line="360" w:lineRule="auto"/>
              <w:jc w:val="center"/>
              <w:rPr>
                <w:rFonts w:ascii="Times New Roman" w:eastAsia="楷体" w:hAnsi="Times New Roman" w:cs="Times New Roman"/>
              </w:rPr>
            </w:pPr>
            <w:bookmarkStart w:id="8" w:name="_Hlk148875677"/>
            <w:r>
              <w:rPr>
                <w:rFonts w:ascii="Times New Roman" w:eastAsia="楷体" w:hAnsi="Times New Roman" w:cs="Times New Roman"/>
              </w:rPr>
              <w:t>（</w:t>
            </w:r>
            <w:r>
              <w:rPr>
                <w:rFonts w:ascii="Times New Roman" w:eastAsia="楷体" w:hAnsi="Times New Roman" w:cs="Times New Roman" w:hint="eastAsia"/>
              </w:rPr>
              <w:t>1</w:t>
            </w:r>
            <w:r>
              <w:rPr>
                <w:rFonts w:ascii="Times New Roman" w:eastAsia="楷体" w:hAnsi="Times New Roman" w:cs="Times New Roman"/>
              </w:rPr>
              <w:t>）第二级加载方向</w:t>
            </w:r>
            <w:r>
              <w:rPr>
                <w:rFonts w:ascii="Times New Roman" w:eastAsia="楷体" w:hAnsi="Times New Roman" w:cs="Times New Roman" w:hint="eastAsia"/>
              </w:rPr>
              <w:t>，现场抽签</w:t>
            </w:r>
          </w:p>
        </w:tc>
        <w:tc>
          <w:tcPr>
            <w:tcW w:w="3379" w:type="pct"/>
          </w:tcPr>
          <w:p w14:paraId="4FA24534" w14:textId="77777777" w:rsidR="00A84A4C"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X</w:t>
            </w:r>
            <w:r>
              <w:rPr>
                <w:rFonts w:ascii="Times New Roman" w:eastAsia="楷体" w:hAnsi="Times New Roman" w:cs="Times New Roman"/>
              </w:rPr>
              <w:t>轴正、负</w:t>
            </w:r>
          </w:p>
        </w:tc>
      </w:tr>
      <w:tr w:rsidR="00A84A4C" w14:paraId="0CEA28D5" w14:textId="77777777">
        <w:trPr>
          <w:jc w:val="center"/>
        </w:trPr>
        <w:tc>
          <w:tcPr>
            <w:tcW w:w="1620" w:type="pct"/>
            <w:vAlign w:val="center"/>
          </w:tcPr>
          <w:p w14:paraId="50623837" w14:textId="77777777" w:rsidR="00A84A4C"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hint="eastAsia"/>
              </w:rPr>
              <w:t>2</w:t>
            </w:r>
            <w:r>
              <w:rPr>
                <w:rFonts w:ascii="Times New Roman" w:eastAsia="楷体" w:hAnsi="Times New Roman" w:cs="Times New Roman"/>
              </w:rPr>
              <w:t>）第三级加载前模型调整方法</w:t>
            </w:r>
            <w:r>
              <w:rPr>
                <w:rFonts w:ascii="Times New Roman" w:eastAsia="楷体" w:hAnsi="Times New Roman" w:cs="Times New Roman" w:hint="eastAsia"/>
              </w:rPr>
              <w:t>，现场自由申报</w:t>
            </w:r>
          </w:p>
        </w:tc>
        <w:tc>
          <w:tcPr>
            <w:tcW w:w="3379" w:type="pct"/>
            <w:vAlign w:val="center"/>
          </w:tcPr>
          <w:p w14:paraId="6313895E"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hint="eastAsia"/>
              </w:rPr>
              <w:t>1</w:t>
            </w:r>
            <w:r>
              <w:rPr>
                <w:rFonts w:ascii="Times New Roman" w:eastAsia="楷体" w:hAnsi="Times New Roman" w:cs="Times New Roman" w:hint="eastAsia"/>
              </w:rPr>
              <w:t>）可改变</w:t>
            </w:r>
            <w:r>
              <w:rPr>
                <w:rFonts w:ascii="Times New Roman" w:eastAsia="楷体" w:hAnsi="Times New Roman" w:cs="Times New Roman"/>
              </w:rPr>
              <w:t>顶部砝码质量增减</w:t>
            </w:r>
            <w:r>
              <w:rPr>
                <w:rFonts w:ascii="Times New Roman" w:eastAsia="楷体" w:hAnsi="Times New Roman" w:cs="Times New Roman" w:hint="eastAsia"/>
              </w:rPr>
              <w:t>：</w:t>
            </w:r>
          </w:p>
          <w:p w14:paraId="7F89D0DB"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szCs w:val="24"/>
              </w:rPr>
              <w:t>800mm</w:t>
            </w:r>
            <w:r>
              <w:rPr>
                <w:rFonts w:ascii="Times New Roman" w:eastAsia="楷体" w:hAnsi="Times New Roman" w:cs="Times New Roman" w:hint="eastAsia"/>
                <w:szCs w:val="24"/>
              </w:rPr>
              <w:t>高：</w:t>
            </w:r>
            <w:r>
              <w:rPr>
                <w:rFonts w:ascii="Times New Roman" w:eastAsia="楷体" w:hAnsi="Times New Roman" w:cs="Times New Roman"/>
              </w:rPr>
              <w:t>0</w:t>
            </w:r>
            <w:r>
              <w:rPr>
                <w:rFonts w:ascii="Times New Roman" w:eastAsia="楷体" w:hAnsi="Times New Roman" w:cs="Times New Roman"/>
              </w:rPr>
              <w:t>、</w:t>
            </w:r>
            <w:r>
              <w:rPr>
                <w:rFonts w:ascii="Times New Roman" w:eastAsia="楷体" w:hAnsi="Times New Roman" w:cs="Times New Roman"/>
              </w:rPr>
              <w:t>±1kg</w:t>
            </w:r>
            <w:r>
              <w:rPr>
                <w:rFonts w:ascii="Times New Roman" w:eastAsia="楷体" w:hAnsi="Times New Roman" w:cs="Times New Roman"/>
              </w:rPr>
              <w:t>、</w:t>
            </w:r>
            <w:r>
              <w:rPr>
                <w:rFonts w:ascii="Times New Roman" w:eastAsia="楷体" w:hAnsi="Times New Roman" w:cs="Times New Roman"/>
              </w:rPr>
              <w:t>±2kg</w:t>
            </w:r>
            <w:r>
              <w:rPr>
                <w:rFonts w:ascii="Times New Roman" w:eastAsia="楷体" w:hAnsi="Times New Roman" w:cs="Times New Roman"/>
              </w:rPr>
              <w:t>；</w:t>
            </w:r>
          </w:p>
          <w:p w14:paraId="651E6F79"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hint="eastAsia"/>
                <w:szCs w:val="24"/>
              </w:rPr>
              <w:t>9</w:t>
            </w:r>
            <w:r>
              <w:rPr>
                <w:rFonts w:ascii="Times New Roman" w:eastAsia="楷体" w:hAnsi="Times New Roman" w:cs="Times New Roman"/>
                <w:szCs w:val="24"/>
              </w:rPr>
              <w:t>00mm</w:t>
            </w:r>
            <w:r>
              <w:rPr>
                <w:rFonts w:ascii="Times New Roman" w:eastAsia="楷体" w:hAnsi="Times New Roman" w:cs="Times New Roman" w:hint="eastAsia"/>
                <w:szCs w:val="24"/>
              </w:rPr>
              <w:t>高：</w:t>
            </w:r>
            <w:r>
              <w:rPr>
                <w:rFonts w:ascii="Times New Roman" w:eastAsia="楷体" w:hAnsi="Times New Roman" w:cs="Times New Roman"/>
              </w:rPr>
              <w:t>0</w:t>
            </w:r>
            <w:r>
              <w:rPr>
                <w:rFonts w:ascii="Times New Roman" w:eastAsia="楷体" w:hAnsi="Times New Roman" w:cs="Times New Roman"/>
              </w:rPr>
              <w:t>、</w:t>
            </w:r>
            <w:r>
              <w:rPr>
                <w:rFonts w:ascii="Times New Roman" w:eastAsia="楷体" w:hAnsi="Times New Roman" w:cs="Times New Roman"/>
              </w:rPr>
              <w:t>±1kg</w:t>
            </w:r>
            <w:r>
              <w:rPr>
                <w:rFonts w:ascii="Times New Roman" w:eastAsia="楷体" w:hAnsi="Times New Roman" w:cs="Times New Roman"/>
              </w:rPr>
              <w:t>、</w:t>
            </w:r>
            <w:r>
              <w:rPr>
                <w:rFonts w:ascii="Times New Roman" w:eastAsia="楷体" w:hAnsi="Times New Roman" w:cs="Times New Roman"/>
              </w:rPr>
              <w:t>±2kg</w:t>
            </w: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hint="eastAsia"/>
              </w:rPr>
              <w:t>.5</w:t>
            </w:r>
            <w:r>
              <w:rPr>
                <w:rFonts w:ascii="Times New Roman" w:eastAsia="楷体" w:hAnsi="Times New Roman" w:cs="Times New Roman"/>
              </w:rPr>
              <w:t>kg</w:t>
            </w:r>
            <w:r>
              <w:rPr>
                <w:rFonts w:ascii="Times New Roman" w:eastAsia="楷体" w:hAnsi="Times New Roman" w:cs="Times New Roman"/>
              </w:rPr>
              <w:t>；</w:t>
            </w:r>
          </w:p>
          <w:p w14:paraId="5BA74FFE"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hint="eastAsia"/>
                <w:szCs w:val="24"/>
              </w:rPr>
              <w:t>10</w:t>
            </w:r>
            <w:r>
              <w:rPr>
                <w:rFonts w:ascii="Times New Roman" w:eastAsia="楷体" w:hAnsi="Times New Roman" w:cs="Times New Roman"/>
                <w:szCs w:val="24"/>
              </w:rPr>
              <w:t>00mm</w:t>
            </w:r>
            <w:r>
              <w:rPr>
                <w:rFonts w:ascii="Times New Roman" w:eastAsia="楷体" w:hAnsi="Times New Roman" w:cs="Times New Roman" w:hint="eastAsia"/>
                <w:szCs w:val="24"/>
              </w:rPr>
              <w:t>高：</w:t>
            </w:r>
            <w:r>
              <w:rPr>
                <w:rFonts w:ascii="Times New Roman" w:eastAsia="楷体" w:hAnsi="Times New Roman" w:cs="Times New Roman"/>
              </w:rPr>
              <w:t>0</w:t>
            </w:r>
            <w:r>
              <w:rPr>
                <w:rFonts w:ascii="Times New Roman" w:eastAsia="楷体" w:hAnsi="Times New Roman" w:cs="Times New Roman"/>
              </w:rPr>
              <w:t>、</w:t>
            </w:r>
            <w:r>
              <w:rPr>
                <w:rFonts w:ascii="Times New Roman" w:eastAsia="楷体" w:hAnsi="Times New Roman" w:cs="Times New Roman"/>
              </w:rPr>
              <w:t>±1kg</w:t>
            </w:r>
            <w:r>
              <w:rPr>
                <w:rFonts w:ascii="Times New Roman" w:eastAsia="楷体" w:hAnsi="Times New Roman" w:cs="Times New Roman"/>
              </w:rPr>
              <w:t>、</w:t>
            </w:r>
            <w:r>
              <w:rPr>
                <w:rFonts w:ascii="Times New Roman" w:eastAsia="楷体" w:hAnsi="Times New Roman" w:cs="Times New Roman"/>
              </w:rPr>
              <w:t>±2kg</w:t>
            </w: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hint="eastAsia"/>
              </w:rPr>
              <w:t>.5</w:t>
            </w:r>
            <w:r>
              <w:rPr>
                <w:rFonts w:ascii="Times New Roman" w:eastAsia="楷体" w:hAnsi="Times New Roman" w:cs="Times New Roman"/>
              </w:rPr>
              <w:t>kg</w:t>
            </w:r>
            <w:r>
              <w:rPr>
                <w:rFonts w:ascii="Times New Roman" w:eastAsia="楷体" w:hAnsi="Times New Roman" w:cs="Times New Roman"/>
              </w:rPr>
              <w:t>、</w:t>
            </w:r>
            <w:r>
              <w:rPr>
                <w:rFonts w:ascii="Times New Roman" w:eastAsia="楷体" w:hAnsi="Times New Roman" w:cs="Times New Roman"/>
              </w:rPr>
              <w:t>±</w:t>
            </w:r>
            <w:r>
              <w:rPr>
                <w:rFonts w:ascii="Times New Roman" w:eastAsia="楷体" w:hAnsi="Times New Roman" w:cs="Times New Roman" w:hint="eastAsia"/>
              </w:rPr>
              <w:t>3.0</w:t>
            </w:r>
            <w:r>
              <w:rPr>
                <w:rFonts w:ascii="Times New Roman" w:eastAsia="楷体" w:hAnsi="Times New Roman" w:cs="Times New Roman"/>
              </w:rPr>
              <w:t>kg</w:t>
            </w:r>
            <w:r>
              <w:rPr>
                <w:rFonts w:ascii="Times New Roman" w:eastAsia="楷体" w:hAnsi="Times New Roman" w:cs="Times New Roman"/>
              </w:rPr>
              <w:t>；</w:t>
            </w:r>
          </w:p>
          <w:p w14:paraId="3CB4B7B6"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hint="eastAsia"/>
                <w:szCs w:val="24"/>
              </w:rPr>
              <w:t>11</w:t>
            </w:r>
            <w:r>
              <w:rPr>
                <w:rFonts w:ascii="Times New Roman" w:eastAsia="楷体" w:hAnsi="Times New Roman" w:cs="Times New Roman"/>
                <w:szCs w:val="24"/>
              </w:rPr>
              <w:t>00mm</w:t>
            </w:r>
            <w:r>
              <w:rPr>
                <w:rFonts w:ascii="Times New Roman" w:eastAsia="楷体" w:hAnsi="Times New Roman" w:cs="Times New Roman" w:hint="eastAsia"/>
                <w:szCs w:val="24"/>
              </w:rPr>
              <w:t>高：</w:t>
            </w:r>
            <w:r>
              <w:rPr>
                <w:rFonts w:ascii="Times New Roman" w:eastAsia="楷体" w:hAnsi="Times New Roman" w:cs="Times New Roman"/>
              </w:rPr>
              <w:t>0</w:t>
            </w:r>
            <w:r>
              <w:rPr>
                <w:rFonts w:ascii="Times New Roman" w:eastAsia="楷体" w:hAnsi="Times New Roman" w:cs="Times New Roman"/>
              </w:rPr>
              <w:t>、</w:t>
            </w:r>
            <w:r>
              <w:rPr>
                <w:rFonts w:ascii="Times New Roman" w:eastAsia="楷体" w:hAnsi="Times New Roman" w:cs="Times New Roman"/>
              </w:rPr>
              <w:t>±1kg</w:t>
            </w:r>
            <w:r>
              <w:rPr>
                <w:rFonts w:ascii="Times New Roman" w:eastAsia="楷体" w:hAnsi="Times New Roman" w:cs="Times New Roman"/>
              </w:rPr>
              <w:t>、</w:t>
            </w:r>
            <w:r>
              <w:rPr>
                <w:rFonts w:ascii="Times New Roman" w:eastAsia="楷体" w:hAnsi="Times New Roman" w:cs="Times New Roman"/>
              </w:rPr>
              <w:t>±2kg</w:t>
            </w: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hint="eastAsia"/>
              </w:rPr>
              <w:t>.5</w:t>
            </w:r>
            <w:r>
              <w:rPr>
                <w:rFonts w:ascii="Times New Roman" w:eastAsia="楷体" w:hAnsi="Times New Roman" w:cs="Times New Roman"/>
              </w:rPr>
              <w:t>kg</w:t>
            </w:r>
            <w:r>
              <w:rPr>
                <w:rFonts w:ascii="Times New Roman" w:eastAsia="楷体" w:hAnsi="Times New Roman" w:cs="Times New Roman"/>
              </w:rPr>
              <w:t>、</w:t>
            </w:r>
            <w:r>
              <w:rPr>
                <w:rFonts w:ascii="Times New Roman" w:eastAsia="楷体" w:hAnsi="Times New Roman" w:cs="Times New Roman"/>
              </w:rPr>
              <w:t>±</w:t>
            </w:r>
            <w:r>
              <w:rPr>
                <w:rFonts w:ascii="Times New Roman" w:eastAsia="楷体" w:hAnsi="Times New Roman" w:cs="Times New Roman" w:hint="eastAsia"/>
              </w:rPr>
              <w:t>3.0</w:t>
            </w:r>
            <w:r>
              <w:rPr>
                <w:rFonts w:ascii="Times New Roman" w:eastAsia="楷体" w:hAnsi="Times New Roman" w:cs="Times New Roman"/>
              </w:rPr>
              <w:t>kg</w:t>
            </w:r>
            <w:r>
              <w:rPr>
                <w:rFonts w:ascii="Times New Roman" w:eastAsia="楷体" w:hAnsi="Times New Roman" w:cs="Times New Roman"/>
              </w:rPr>
              <w:t>、</w:t>
            </w:r>
            <w:r>
              <w:rPr>
                <w:rFonts w:ascii="Times New Roman" w:eastAsia="楷体" w:hAnsi="Times New Roman" w:cs="Times New Roman"/>
              </w:rPr>
              <w:t>±</w:t>
            </w:r>
            <w:r>
              <w:rPr>
                <w:rFonts w:ascii="Times New Roman" w:eastAsia="楷体" w:hAnsi="Times New Roman" w:cs="Times New Roman" w:hint="eastAsia"/>
              </w:rPr>
              <w:t>3.5</w:t>
            </w:r>
            <w:r>
              <w:rPr>
                <w:rFonts w:ascii="Times New Roman" w:eastAsia="楷体" w:hAnsi="Times New Roman" w:cs="Times New Roman"/>
              </w:rPr>
              <w:t>kg</w:t>
            </w:r>
            <w:r>
              <w:rPr>
                <w:rFonts w:ascii="Times New Roman" w:eastAsia="楷体" w:hAnsi="Times New Roman" w:cs="Times New Roman"/>
              </w:rPr>
              <w:t>；</w:t>
            </w:r>
          </w:p>
          <w:p w14:paraId="7BF8A54B" w14:textId="77777777" w:rsidR="00A84A4C" w:rsidRDefault="00000000">
            <w:pPr>
              <w:widowControl/>
              <w:spacing w:line="360" w:lineRule="auto"/>
              <w:rPr>
                <w:rFonts w:ascii="Times New Roman" w:eastAsia="楷体" w:hAnsi="Times New Roman" w:cs="Times New Roman"/>
              </w:rPr>
            </w:pPr>
            <w:r>
              <w:rPr>
                <w:rFonts w:ascii="Times New Roman" w:eastAsia="楷体" w:hAnsi="Times New Roman" w:cs="Times New Roman" w:hint="eastAsia"/>
              </w:rPr>
              <w:t>2</w:t>
            </w:r>
            <w:r>
              <w:rPr>
                <w:rFonts w:ascii="Times New Roman" w:eastAsia="楷体" w:hAnsi="Times New Roman" w:cs="Times New Roman" w:hint="eastAsia"/>
              </w:rPr>
              <w:t>）可改变</w:t>
            </w:r>
            <w:r>
              <w:rPr>
                <w:rFonts w:ascii="Times New Roman" w:eastAsia="楷体" w:hAnsi="Times New Roman" w:cs="Times New Roman"/>
              </w:rPr>
              <w:t>结构</w:t>
            </w:r>
          </w:p>
        </w:tc>
      </w:tr>
    </w:tbl>
    <w:bookmarkEnd w:id="8"/>
    <w:p w14:paraId="0E2D2D27" w14:textId="77777777" w:rsidR="00A84A4C" w:rsidRDefault="00000000">
      <w:pPr>
        <w:pStyle w:val="1"/>
        <w:spacing w:before="0" w:after="0" w:line="579" w:lineRule="auto"/>
        <w:rPr>
          <w:rFonts w:ascii="Times New Roman" w:eastAsia="楷体" w:hAnsi="Times New Roman" w:cs="Times New Roman"/>
          <w:kern w:val="28"/>
        </w:rPr>
      </w:pPr>
      <w:r>
        <w:rPr>
          <w:rFonts w:ascii="Times New Roman" w:eastAsia="楷体" w:hAnsi="Times New Roman" w:cs="Times New Roman" w:hint="eastAsia"/>
          <w:kern w:val="28"/>
          <w:sz w:val="28"/>
          <w:szCs w:val="28"/>
        </w:rPr>
        <w:t>4.</w:t>
      </w:r>
      <w:r>
        <w:rPr>
          <w:rFonts w:ascii="Times New Roman" w:eastAsia="楷体" w:hAnsi="Times New Roman" w:cs="Times New Roman"/>
          <w:kern w:val="28"/>
          <w:sz w:val="28"/>
          <w:szCs w:val="28"/>
        </w:rPr>
        <w:t>理论方案</w:t>
      </w:r>
      <w:r>
        <w:rPr>
          <w:rFonts w:ascii="Times New Roman" w:eastAsia="楷体" w:hAnsi="Times New Roman" w:cs="Times New Roman"/>
          <w:kern w:val="28"/>
        </w:rPr>
        <w:t xml:space="preserve"> </w:t>
      </w:r>
    </w:p>
    <w:p w14:paraId="7629E65D" w14:textId="77777777" w:rsidR="00A84A4C" w:rsidRDefault="00000000">
      <w:pPr>
        <w:widowControl/>
        <w:spacing w:line="360" w:lineRule="auto"/>
        <w:ind w:firstLine="482"/>
        <w:rPr>
          <w:rFonts w:ascii="Times New Roman" w:eastAsia="楷体" w:hAnsi="Times New Roman" w:cs="Times New Roman"/>
          <w:kern w:val="0"/>
          <w:szCs w:val="24"/>
        </w:rPr>
      </w:pPr>
      <w:r>
        <w:rPr>
          <w:rFonts w:ascii="Times New Roman" w:eastAsia="楷体" w:hAnsi="Times New Roman" w:cs="Times New Roman"/>
          <w:kern w:val="0"/>
          <w:szCs w:val="24"/>
        </w:rPr>
        <w:t>理论方案内容需包括</w:t>
      </w:r>
      <w:r>
        <w:rPr>
          <w:rFonts w:ascii="Times New Roman" w:eastAsia="楷体" w:hAnsi="Times New Roman" w:cs="Times New Roman" w:hint="eastAsia"/>
          <w:kern w:val="0"/>
          <w:szCs w:val="24"/>
        </w:rPr>
        <w:t>平时训练</w:t>
      </w:r>
      <w:r>
        <w:rPr>
          <w:rFonts w:ascii="Times New Roman" w:eastAsia="楷体" w:hAnsi="Times New Roman" w:cs="Times New Roman"/>
          <w:kern w:val="0"/>
          <w:szCs w:val="24"/>
        </w:rPr>
        <w:t>过程总结、设计计算两部分。</w:t>
      </w:r>
      <w:r>
        <w:rPr>
          <w:rFonts w:ascii="Times New Roman" w:eastAsia="楷体" w:hAnsi="Times New Roman" w:cs="Times New Roman" w:hint="eastAsia"/>
          <w:kern w:val="0"/>
          <w:szCs w:val="24"/>
        </w:rPr>
        <w:t>平时训练</w:t>
      </w:r>
      <w:r>
        <w:rPr>
          <w:rFonts w:ascii="Times New Roman" w:eastAsia="楷体" w:hAnsi="Times New Roman" w:cs="Times New Roman"/>
          <w:kern w:val="0"/>
          <w:szCs w:val="24"/>
        </w:rPr>
        <w:t>过程总结主要从理论、试验和计算等方面说明参赛队是如何为比赛进行准备的；设计计算部分需包括主要计算参数、计算结果，以及第三级加载的应对策略分析；计算结果需从强度、刚度、稳定和振动响应等方面进行评价。</w:t>
      </w:r>
    </w:p>
    <w:p w14:paraId="40777CA4" w14:textId="77777777" w:rsidR="00A84A4C" w:rsidRDefault="00000000">
      <w:pPr>
        <w:pStyle w:val="1"/>
        <w:spacing w:before="0" w:after="0" w:line="579" w:lineRule="auto"/>
        <w:rPr>
          <w:rFonts w:ascii="Times New Roman" w:eastAsia="楷体" w:hAnsi="Times New Roman" w:cs="Times New Roman"/>
          <w:kern w:val="28"/>
        </w:rPr>
      </w:pPr>
      <w:r>
        <w:rPr>
          <w:rFonts w:ascii="Times New Roman" w:eastAsia="楷体" w:hAnsi="Times New Roman" w:cs="Times New Roman" w:hint="eastAsia"/>
          <w:kern w:val="28"/>
          <w:sz w:val="28"/>
          <w:szCs w:val="28"/>
        </w:rPr>
        <w:lastRenderedPageBreak/>
        <w:t>5.</w:t>
      </w:r>
      <w:r>
        <w:rPr>
          <w:rFonts w:ascii="Times New Roman" w:eastAsia="楷体" w:hAnsi="Times New Roman" w:cs="Times New Roman"/>
          <w:kern w:val="28"/>
          <w:sz w:val="28"/>
          <w:szCs w:val="28"/>
        </w:rPr>
        <w:t>模型制作要求</w:t>
      </w:r>
      <w:r>
        <w:rPr>
          <w:rFonts w:ascii="Times New Roman" w:eastAsia="楷体" w:hAnsi="Times New Roman" w:cs="Times New Roman"/>
          <w:kern w:val="28"/>
        </w:rPr>
        <w:t xml:space="preserve"> </w:t>
      </w:r>
    </w:p>
    <w:p w14:paraId="42F566FC" w14:textId="77777777" w:rsidR="00A84A4C" w:rsidRDefault="00000000">
      <w:pPr>
        <w:widowControl/>
        <w:spacing w:line="360" w:lineRule="auto"/>
        <w:ind w:firstLine="482"/>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）模型制作材料由组委会统一提供，各参赛队使用的材料仅限于组委会提供的材料，不允许将竹材中的无纺布剥离下来做捆扎单独使用。</w:t>
      </w:r>
    </w:p>
    <w:p w14:paraId="5B7CAF5B" w14:textId="77777777" w:rsidR="00A84A4C" w:rsidRDefault="00000000">
      <w:pPr>
        <w:widowControl/>
        <w:spacing w:line="360" w:lineRule="auto"/>
        <w:ind w:firstLine="482"/>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）模型采用竹材制作，竹材参考力学指标见表</w:t>
      </w:r>
      <w:r>
        <w:rPr>
          <w:rFonts w:ascii="Times New Roman" w:eastAsia="楷体" w:hAnsi="Times New Roman" w:cs="Times New Roman" w:hint="eastAsia"/>
        </w:rPr>
        <w:t>5-</w:t>
      </w:r>
      <w:r>
        <w:rPr>
          <w:rFonts w:ascii="Times New Roman" w:eastAsia="楷体" w:hAnsi="Times New Roman" w:cs="Times New Roman"/>
        </w:rPr>
        <w:t>1</w:t>
      </w:r>
      <w:r>
        <w:rPr>
          <w:rFonts w:ascii="Times New Roman" w:eastAsia="楷体" w:hAnsi="Times New Roman" w:cs="Times New Roman"/>
        </w:rPr>
        <w:t>，竹材规格及用量上限如表</w:t>
      </w:r>
      <w:r>
        <w:rPr>
          <w:rFonts w:ascii="Times New Roman" w:eastAsia="楷体" w:hAnsi="Times New Roman" w:cs="Times New Roman" w:hint="eastAsia"/>
        </w:rPr>
        <w:t>5-2</w:t>
      </w:r>
      <w:r>
        <w:rPr>
          <w:rFonts w:ascii="Times New Roman" w:eastAsia="楷体" w:hAnsi="Times New Roman" w:cs="Times New Roman"/>
        </w:rPr>
        <w:t>所示。</w:t>
      </w:r>
    </w:p>
    <w:p w14:paraId="59601FC8" w14:textId="77777777" w:rsidR="00A84A4C" w:rsidRDefault="00000000">
      <w:pPr>
        <w:widowControl/>
        <w:spacing w:line="360" w:lineRule="auto"/>
        <w:ind w:firstLine="482"/>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hint="eastAsia"/>
        </w:rPr>
        <w:t>3</w:t>
      </w:r>
      <w:r>
        <w:rPr>
          <w:rFonts w:ascii="Times New Roman" w:eastAsia="楷体" w:hAnsi="Times New Roman" w:cs="Times New Roman"/>
        </w:rPr>
        <w:t>）为每队提供</w:t>
      </w:r>
      <w:r>
        <w:rPr>
          <w:rFonts w:ascii="Times New Roman" w:eastAsia="楷体" w:hAnsi="Times New Roman" w:cs="Times New Roman"/>
        </w:rPr>
        <w:t>502</w:t>
      </w:r>
      <w:r>
        <w:rPr>
          <w:rFonts w:ascii="Times New Roman" w:eastAsia="楷体" w:hAnsi="Times New Roman" w:cs="Times New Roman"/>
        </w:rPr>
        <w:t>胶水（</w:t>
      </w:r>
      <w:r>
        <w:rPr>
          <w:rFonts w:ascii="Times New Roman" w:eastAsia="楷体" w:hAnsi="Times New Roman" w:cs="Times New Roman"/>
        </w:rPr>
        <w:t xml:space="preserve">30g </w:t>
      </w:r>
      <w:r>
        <w:rPr>
          <w:rFonts w:ascii="Times New Roman" w:eastAsia="楷体" w:hAnsi="Times New Roman" w:cs="Times New Roman"/>
        </w:rPr>
        <w:t>装）</w:t>
      </w:r>
      <w:r>
        <w:rPr>
          <w:rFonts w:ascii="Times New Roman" w:eastAsia="楷体" w:hAnsi="Times New Roman" w:cs="Times New Roman" w:hint="eastAsia"/>
        </w:rPr>
        <w:t>5</w:t>
      </w:r>
      <w:r>
        <w:rPr>
          <w:rFonts w:ascii="Times New Roman" w:eastAsia="楷体" w:hAnsi="Times New Roman" w:cs="Times New Roman"/>
        </w:rPr>
        <w:t>瓶，用于结构构件之间的连接；</w:t>
      </w:r>
    </w:p>
    <w:p w14:paraId="57B020CF" w14:textId="77777777" w:rsidR="00A84A4C" w:rsidRDefault="00000000">
      <w:pPr>
        <w:widowControl/>
        <w:spacing w:line="360" w:lineRule="auto"/>
        <w:ind w:firstLine="482"/>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hint="eastAsia"/>
        </w:rPr>
        <w:t>4</w:t>
      </w:r>
      <w:r>
        <w:rPr>
          <w:rFonts w:ascii="Times New Roman" w:eastAsia="楷体" w:hAnsi="Times New Roman" w:cs="Times New Roman"/>
        </w:rPr>
        <w:t>）每队在模型</w:t>
      </w:r>
      <w:r>
        <w:rPr>
          <w:rFonts w:ascii="Times New Roman" w:eastAsia="楷体" w:hAnsi="Times New Roman" w:cs="Times New Roman" w:hint="eastAsia"/>
        </w:rPr>
        <w:t>加载</w:t>
      </w:r>
      <w:r>
        <w:rPr>
          <w:rFonts w:ascii="Times New Roman" w:eastAsia="楷体" w:hAnsi="Times New Roman" w:cs="Times New Roman"/>
        </w:rPr>
        <w:t>前分发</w:t>
      </w:r>
      <w:r>
        <w:rPr>
          <w:rFonts w:ascii="Times New Roman" w:eastAsia="楷体" w:hAnsi="Times New Roman" w:cs="Times New Roman"/>
        </w:rPr>
        <w:t>1</w:t>
      </w:r>
      <w:r>
        <w:rPr>
          <w:rFonts w:ascii="Times New Roman" w:eastAsia="楷体" w:hAnsi="Times New Roman" w:cs="Times New Roman"/>
        </w:rPr>
        <w:t>块模型底板，参赛队员确认固定模型需要的自攻螺钉数量</w:t>
      </w:r>
      <w:r>
        <w:rPr>
          <w:rFonts w:ascii="Times New Roman" w:eastAsia="楷体" w:hAnsi="Times New Roman" w:cs="Times New Roman"/>
          <w:i/>
          <w:iCs/>
        </w:rPr>
        <w:t>n</w:t>
      </w:r>
      <w:r>
        <w:rPr>
          <w:rFonts w:ascii="Times New Roman" w:eastAsia="楷体" w:hAnsi="Times New Roman" w:cs="Times New Roman"/>
        </w:rPr>
        <w:t>（每个自攻螺钉算</w:t>
      </w:r>
      <w:r>
        <w:rPr>
          <w:rFonts w:ascii="Times New Roman" w:eastAsia="楷体" w:hAnsi="Times New Roman" w:cs="Times New Roman"/>
        </w:rPr>
        <w:t>1</w:t>
      </w:r>
      <w:r>
        <w:rPr>
          <w:rFonts w:ascii="Times New Roman" w:eastAsia="楷体" w:hAnsi="Times New Roman" w:cs="Times New Roman"/>
        </w:rPr>
        <w:t>克）</w:t>
      </w:r>
      <w:r>
        <w:rPr>
          <w:rFonts w:ascii="Times New Roman" w:eastAsia="楷体" w:hAnsi="Times New Roman" w:cs="Times New Roman" w:hint="eastAsia"/>
        </w:rPr>
        <w:t>。</w:t>
      </w:r>
    </w:p>
    <w:p w14:paraId="1AE78748" w14:textId="77777777" w:rsidR="00A84A4C" w:rsidRDefault="00000000">
      <w:pPr>
        <w:spacing w:line="360" w:lineRule="auto"/>
        <w:jc w:val="center"/>
        <w:rPr>
          <w:rFonts w:ascii="Times New Roman" w:eastAsia="楷体" w:hAnsi="Times New Roman" w:cs="Times New Roman"/>
          <w:szCs w:val="24"/>
        </w:rPr>
      </w:pPr>
      <w:r>
        <w:rPr>
          <w:rFonts w:ascii="Times New Roman" w:eastAsia="楷体" w:hAnsi="Times New Roman" w:cs="Times New Roman"/>
          <w:szCs w:val="24"/>
        </w:rPr>
        <w:t>表</w:t>
      </w:r>
      <w:r>
        <w:rPr>
          <w:rFonts w:ascii="Times New Roman" w:eastAsia="楷体" w:hAnsi="Times New Roman" w:cs="Times New Roman" w:hint="eastAsia"/>
          <w:szCs w:val="24"/>
        </w:rPr>
        <w:t>5-1</w:t>
      </w:r>
      <w:r>
        <w:rPr>
          <w:rFonts w:ascii="Times New Roman" w:eastAsia="楷体" w:hAnsi="Times New Roman" w:cs="Times New Roman"/>
          <w:szCs w:val="24"/>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69"/>
        <w:gridCol w:w="4086"/>
        <w:gridCol w:w="2702"/>
        <w:gridCol w:w="1671"/>
      </w:tblGrid>
      <w:tr w:rsidR="00A84A4C" w14:paraId="45B4A8F9" w14:textId="77777777">
        <w:trPr>
          <w:trHeight w:val="325"/>
          <w:jc w:val="center"/>
        </w:trPr>
        <w:tc>
          <w:tcPr>
            <w:tcW w:w="607" w:type="pct"/>
            <w:tcBorders>
              <w:top w:val="single" w:sz="4" w:space="0" w:color="000000"/>
              <w:left w:val="single" w:sz="4" w:space="0" w:color="000000"/>
              <w:bottom w:val="single" w:sz="4" w:space="0" w:color="000000"/>
              <w:right w:val="nil"/>
            </w:tcBorders>
          </w:tcPr>
          <w:p w14:paraId="3F3DA614" w14:textId="77777777" w:rsidR="00A84A4C" w:rsidRDefault="00A84A4C">
            <w:pPr>
              <w:jc w:val="left"/>
              <w:rPr>
                <w:rFonts w:ascii="Times New Roman" w:eastAsia="楷体" w:hAnsi="Times New Roman" w:cs="Times New Roman"/>
              </w:rPr>
            </w:pPr>
          </w:p>
        </w:tc>
        <w:tc>
          <w:tcPr>
            <w:tcW w:w="2122" w:type="pct"/>
            <w:tcBorders>
              <w:top w:val="single" w:sz="4" w:space="0" w:color="000000"/>
              <w:left w:val="nil"/>
              <w:bottom w:val="single" w:sz="4" w:space="0" w:color="000000"/>
              <w:right w:val="single" w:sz="4" w:space="0" w:color="000000"/>
            </w:tcBorders>
          </w:tcPr>
          <w:p w14:paraId="3B192DB3"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竹材规格（单位：</w:t>
            </w:r>
            <w:r>
              <w:rPr>
                <w:rFonts w:ascii="Times New Roman" w:eastAsia="楷体" w:hAnsi="Times New Roman" w:cs="Times New Roman"/>
              </w:rPr>
              <w:t>mm</w:t>
            </w:r>
            <w:r>
              <w:rPr>
                <w:rFonts w:ascii="Times New Roman" w:eastAsia="楷体" w:hAnsi="Times New Roman" w:cs="Times New Roman"/>
              </w:rPr>
              <w:t>）</w:t>
            </w:r>
          </w:p>
        </w:tc>
        <w:tc>
          <w:tcPr>
            <w:tcW w:w="1403" w:type="pct"/>
            <w:tcBorders>
              <w:top w:val="single" w:sz="4" w:space="0" w:color="000000"/>
              <w:left w:val="single" w:sz="4" w:space="0" w:color="000000"/>
              <w:bottom w:val="single" w:sz="4" w:space="0" w:color="000000"/>
              <w:right w:val="single" w:sz="4" w:space="0" w:color="000000"/>
            </w:tcBorders>
          </w:tcPr>
          <w:p w14:paraId="4FFAFD19"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竹材名称</w:t>
            </w:r>
          </w:p>
        </w:tc>
        <w:tc>
          <w:tcPr>
            <w:tcW w:w="868" w:type="pct"/>
            <w:tcBorders>
              <w:top w:val="single" w:sz="4" w:space="0" w:color="000000"/>
              <w:left w:val="single" w:sz="4" w:space="0" w:color="000000"/>
              <w:bottom w:val="single" w:sz="4" w:space="0" w:color="000000"/>
              <w:right w:val="single" w:sz="4" w:space="0" w:color="000000"/>
            </w:tcBorders>
          </w:tcPr>
          <w:p w14:paraId="6ACC9673"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用量</w:t>
            </w:r>
          </w:p>
        </w:tc>
      </w:tr>
      <w:tr w:rsidR="00A84A4C" w14:paraId="0F2D229E" w14:textId="7777777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3EC32136" w14:textId="77777777" w:rsidR="00A84A4C" w:rsidRDefault="00000000">
            <w:pPr>
              <w:jc w:val="left"/>
              <w:rPr>
                <w:rFonts w:ascii="Times New Roman" w:eastAsia="楷体" w:hAnsi="Times New Roman" w:cs="Times New Roman"/>
              </w:rPr>
            </w:pPr>
            <w:r>
              <w:rPr>
                <w:rFonts w:ascii="Times New Roman" w:eastAsia="楷体" w:hAnsi="Times New Roman" w:cs="Times New Roman"/>
              </w:rPr>
              <w:t>竹皮</w:t>
            </w:r>
          </w:p>
        </w:tc>
        <w:tc>
          <w:tcPr>
            <w:tcW w:w="2122" w:type="pct"/>
            <w:tcBorders>
              <w:top w:val="single" w:sz="4" w:space="0" w:color="000000"/>
              <w:left w:val="single" w:sz="4" w:space="0" w:color="000000"/>
              <w:bottom w:val="single" w:sz="4" w:space="0" w:color="000000"/>
              <w:right w:val="single" w:sz="4" w:space="0" w:color="000000"/>
            </w:tcBorders>
          </w:tcPr>
          <w:p w14:paraId="5EDDFCC4"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14:paraId="0536D77A"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集成竹片（单层）</w:t>
            </w:r>
          </w:p>
        </w:tc>
        <w:tc>
          <w:tcPr>
            <w:tcW w:w="868" w:type="pct"/>
            <w:tcBorders>
              <w:top w:val="single" w:sz="4" w:space="0" w:color="000000"/>
              <w:left w:val="single" w:sz="4" w:space="0" w:color="000000"/>
              <w:bottom w:val="single" w:sz="4" w:space="0" w:color="000000"/>
              <w:right w:val="single" w:sz="4" w:space="0" w:color="000000"/>
            </w:tcBorders>
          </w:tcPr>
          <w:p w14:paraId="23F528DB"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A84A4C" w14:paraId="17CCE765" w14:textId="77777777">
        <w:trPr>
          <w:trHeight w:val="350"/>
          <w:jc w:val="center"/>
        </w:trPr>
        <w:tc>
          <w:tcPr>
            <w:tcW w:w="607" w:type="pct"/>
            <w:vMerge/>
            <w:tcBorders>
              <w:top w:val="nil"/>
              <w:left w:val="single" w:sz="4" w:space="0" w:color="000000"/>
              <w:bottom w:val="nil"/>
              <w:right w:val="single" w:sz="4" w:space="0" w:color="000000"/>
            </w:tcBorders>
          </w:tcPr>
          <w:p w14:paraId="5195BEB2" w14:textId="77777777" w:rsidR="00A84A4C" w:rsidRDefault="00A84A4C">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78C18E73"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1250×430×0.35 (+0.05)</w:t>
            </w:r>
          </w:p>
        </w:tc>
        <w:tc>
          <w:tcPr>
            <w:tcW w:w="1403" w:type="pct"/>
            <w:tcBorders>
              <w:top w:val="single" w:sz="4" w:space="0" w:color="000000"/>
              <w:left w:val="single" w:sz="4" w:space="0" w:color="000000"/>
              <w:bottom w:val="single" w:sz="4" w:space="0" w:color="000000"/>
              <w:right w:val="single" w:sz="4" w:space="0" w:color="000000"/>
            </w:tcBorders>
          </w:tcPr>
          <w:p w14:paraId="3482BF2C"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16ECDC52"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A84A4C" w14:paraId="1F99504D"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2AD5CA9C" w14:textId="77777777" w:rsidR="00A84A4C" w:rsidRDefault="00A84A4C">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66CA8FFF"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14:paraId="040314DD"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054412FE"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A84A4C" w14:paraId="6976D292" w14:textId="7777777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57AA4C06" w14:textId="77777777" w:rsidR="00A84A4C" w:rsidRDefault="00000000">
            <w:pPr>
              <w:jc w:val="left"/>
              <w:rPr>
                <w:rFonts w:ascii="Times New Roman" w:eastAsia="楷体" w:hAnsi="Times New Roman" w:cs="Times New Roman"/>
              </w:rPr>
            </w:pPr>
            <w:r>
              <w:rPr>
                <w:rFonts w:ascii="Times New Roman" w:eastAsia="楷体" w:hAnsi="Times New Roman" w:cs="Times New Roman"/>
              </w:rPr>
              <w:t>竹杆</w:t>
            </w:r>
          </w:p>
        </w:tc>
        <w:tc>
          <w:tcPr>
            <w:tcW w:w="2122" w:type="pct"/>
            <w:tcBorders>
              <w:top w:val="single" w:sz="4" w:space="0" w:color="000000"/>
              <w:left w:val="single" w:sz="4" w:space="0" w:color="000000"/>
              <w:bottom w:val="single" w:sz="4" w:space="0" w:color="000000"/>
              <w:right w:val="single" w:sz="4" w:space="0" w:color="000000"/>
            </w:tcBorders>
          </w:tcPr>
          <w:p w14:paraId="3B3368E8"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14:paraId="3E4C673F"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1421A2FF"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A84A4C" w14:paraId="762340CB" w14:textId="77777777">
        <w:trPr>
          <w:trHeight w:val="350"/>
          <w:jc w:val="center"/>
        </w:trPr>
        <w:tc>
          <w:tcPr>
            <w:tcW w:w="607" w:type="pct"/>
            <w:vMerge/>
            <w:tcBorders>
              <w:top w:val="nil"/>
              <w:left w:val="single" w:sz="4" w:space="0" w:color="000000"/>
              <w:bottom w:val="nil"/>
              <w:right w:val="single" w:sz="4" w:space="0" w:color="000000"/>
            </w:tcBorders>
          </w:tcPr>
          <w:p w14:paraId="0E792540" w14:textId="77777777" w:rsidR="00A84A4C" w:rsidRDefault="00A84A4C">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5896C58A"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14:paraId="2B252F4D"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4C947397"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A84A4C" w14:paraId="1B0DBC11"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41799CE3" w14:textId="77777777" w:rsidR="00A84A4C" w:rsidRDefault="00A84A4C">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71849517"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14:paraId="06589164"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0ECE4A86"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bl>
    <w:p w14:paraId="78F4934B"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注：竹材规格括号内数字仅为材料厚度误差限，竹皮不能撕开使用里面的无纺布。</w:t>
      </w:r>
    </w:p>
    <w:p w14:paraId="59C38A26" w14:textId="77777777" w:rsidR="00A84A4C" w:rsidRDefault="00000000">
      <w:pPr>
        <w:spacing w:line="360" w:lineRule="auto"/>
        <w:jc w:val="center"/>
        <w:rPr>
          <w:rFonts w:ascii="Times New Roman" w:eastAsia="楷体" w:hAnsi="Times New Roman" w:cs="Times New Roman"/>
          <w:szCs w:val="24"/>
        </w:rPr>
      </w:pPr>
      <w:r>
        <w:rPr>
          <w:rFonts w:ascii="Times New Roman" w:eastAsia="楷体" w:hAnsi="Times New Roman" w:cs="Times New Roman"/>
          <w:szCs w:val="24"/>
        </w:rPr>
        <w:t>表</w:t>
      </w:r>
      <w:r>
        <w:rPr>
          <w:rFonts w:ascii="Times New Roman" w:eastAsia="楷体" w:hAnsi="Times New Roman" w:cs="Times New Roman" w:hint="eastAsia"/>
          <w:szCs w:val="24"/>
        </w:rPr>
        <w:t>5-2</w:t>
      </w:r>
      <w:r>
        <w:rPr>
          <w:rFonts w:ascii="Times New Roman" w:eastAsia="楷体" w:hAnsi="Times New Roman" w:cs="Times New Roman"/>
          <w:szCs w:val="24"/>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50"/>
        <w:gridCol w:w="3042"/>
        <w:gridCol w:w="2218"/>
        <w:gridCol w:w="2218"/>
      </w:tblGrid>
      <w:tr w:rsidR="00A84A4C" w14:paraId="5936CB2E" w14:textId="7777777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3D97AED8"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7F1B628A"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58A052AD"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19908B25"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弹性模量</w:t>
            </w:r>
          </w:p>
        </w:tc>
      </w:tr>
      <w:tr w:rsidR="00A84A4C" w14:paraId="77F09E00" w14:textId="7777777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261D7B27"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0.8 g/cm</w:t>
            </w:r>
            <w:r>
              <w:rPr>
                <w:rFonts w:ascii="Times New Roman" w:eastAsia="楷体" w:hAnsi="Times New Roman" w:cs="Times New Roman"/>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540A6008"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60 MPa</w:t>
            </w:r>
          </w:p>
        </w:tc>
        <w:tc>
          <w:tcPr>
            <w:tcW w:w="1152" w:type="pct"/>
            <w:tcBorders>
              <w:top w:val="single" w:sz="4" w:space="0" w:color="000000"/>
              <w:left w:val="single" w:sz="4" w:space="0" w:color="000000"/>
              <w:bottom w:val="single" w:sz="4" w:space="0" w:color="000000"/>
              <w:right w:val="single" w:sz="4" w:space="0" w:color="000000"/>
            </w:tcBorders>
          </w:tcPr>
          <w:p w14:paraId="2D12FD15"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30 MPa</w:t>
            </w:r>
          </w:p>
        </w:tc>
        <w:tc>
          <w:tcPr>
            <w:tcW w:w="1152" w:type="pct"/>
            <w:tcBorders>
              <w:top w:val="single" w:sz="4" w:space="0" w:color="000000"/>
              <w:left w:val="single" w:sz="4" w:space="0" w:color="000000"/>
              <w:bottom w:val="single" w:sz="4" w:space="0" w:color="000000"/>
              <w:right w:val="single" w:sz="4" w:space="0" w:color="000000"/>
            </w:tcBorders>
          </w:tcPr>
          <w:p w14:paraId="4C83D0DD" w14:textId="77777777" w:rsidR="00A84A4C" w:rsidRDefault="00000000">
            <w:pPr>
              <w:jc w:val="center"/>
              <w:rPr>
                <w:rFonts w:ascii="Times New Roman" w:eastAsia="楷体" w:hAnsi="Times New Roman" w:cs="Times New Roman"/>
              </w:rPr>
            </w:pPr>
            <w:r>
              <w:rPr>
                <w:rFonts w:ascii="Times New Roman" w:eastAsia="楷体" w:hAnsi="Times New Roman" w:cs="Times New Roman"/>
              </w:rPr>
              <w:t>6 GPa</w:t>
            </w:r>
          </w:p>
        </w:tc>
      </w:tr>
    </w:tbl>
    <w:p w14:paraId="64EA5F88"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t>6.</w:t>
      </w:r>
      <w:r>
        <w:rPr>
          <w:rFonts w:ascii="Times New Roman" w:eastAsia="楷体" w:hAnsi="Times New Roman" w:cs="Times New Roman"/>
          <w:kern w:val="28"/>
          <w:sz w:val="28"/>
          <w:szCs w:val="28"/>
        </w:rPr>
        <w:t>模型称重</w:t>
      </w:r>
    </w:p>
    <w:p w14:paraId="0E5FD63A" w14:textId="77777777" w:rsidR="00A84A4C" w:rsidRDefault="00000000">
      <w:pPr>
        <w:spacing w:line="360" w:lineRule="auto"/>
        <w:ind w:firstLine="482"/>
        <w:contextualSpacing/>
        <w:rPr>
          <w:rFonts w:ascii="Times New Roman" w:eastAsia="楷体" w:hAnsi="Times New Roman" w:cs="Times New Roman"/>
        </w:rPr>
      </w:pPr>
      <w:r>
        <w:rPr>
          <w:rFonts w:ascii="Times New Roman" w:eastAsia="楷体" w:hAnsi="Times New Roman" w:cs="Times New Roman"/>
        </w:rPr>
        <w:t>工作人员对模型称重，得到模型质量</w:t>
      </w:r>
      <w:r>
        <w:rPr>
          <w:rFonts w:ascii="Times New Roman" w:eastAsia="楷体" w:hAnsi="Times New Roman" w:cs="Times New Roman"/>
          <w:i/>
        </w:rPr>
        <w:t>M</w:t>
      </w:r>
      <w:r>
        <w:rPr>
          <w:rFonts w:ascii="Times New Roman" w:eastAsia="楷体" w:hAnsi="Times New Roman" w:cs="Times New Roman"/>
          <w:vertAlign w:val="subscript"/>
        </w:rPr>
        <w:t>Ai</w:t>
      </w:r>
      <w:r>
        <w:rPr>
          <w:rFonts w:ascii="Times New Roman" w:eastAsia="楷体" w:hAnsi="Times New Roman" w:cs="Times New Roman"/>
        </w:rPr>
        <w:t>（精确到</w:t>
      </w:r>
      <w:r>
        <w:rPr>
          <w:rFonts w:ascii="Times New Roman" w:eastAsia="楷体" w:hAnsi="Times New Roman" w:cs="Times New Roman"/>
        </w:rPr>
        <w:t xml:space="preserve"> 0.1</w:t>
      </w:r>
      <w:r>
        <w:rPr>
          <w:rFonts w:ascii="Times New Roman" w:eastAsia="楷体" w:hAnsi="Times New Roman" w:cs="Times New Roman"/>
        </w:rPr>
        <w:t>克）。将安装模型使用的自攻螺钉总数量折算成模型质量</w:t>
      </w:r>
      <w:r>
        <w:rPr>
          <w:rFonts w:ascii="Times New Roman" w:eastAsia="楷体" w:hAnsi="Times New Roman" w:cs="Times New Roman"/>
          <w:i/>
          <w:iCs/>
        </w:rPr>
        <w:t>n</w:t>
      </w:r>
      <w:r>
        <w:rPr>
          <w:rFonts w:ascii="Times New Roman" w:eastAsia="楷体" w:hAnsi="Times New Roman" w:cs="Times New Roman"/>
        </w:rPr>
        <w:t>，单位：克），模型总质量</w:t>
      </w:r>
      <m:oMath>
        <m:sSub>
          <m:sSubPr>
            <m:ctrlPr>
              <w:rPr>
                <w:rFonts w:ascii="Cambria Math" w:eastAsia="楷体" w:hAnsi="Cambria Math" w:cs="Times New Roman"/>
                <w:i/>
              </w:rPr>
            </m:ctrlPr>
          </m:sSubPr>
          <m:e>
            <m:r>
              <w:rPr>
                <w:rFonts w:ascii="Cambria Math" w:eastAsia="楷体" w:hAnsi="Cambria Math" w:cs="Times New Roman"/>
              </w:rPr>
              <m:t>M</m:t>
            </m:r>
          </m:e>
          <m:sub>
            <m:r>
              <w:rPr>
                <w:rFonts w:ascii="Cambria Math" w:eastAsia="楷体" w:hAnsi="Cambria Math" w:cs="Times New Roman"/>
              </w:rPr>
              <m:t>0i</m:t>
            </m:r>
          </m:sub>
        </m:sSub>
      </m:oMath>
      <w:r>
        <w:rPr>
          <w:rFonts w:ascii="Times New Roman" w:eastAsia="楷体" w:hAnsi="Times New Roman" w:cs="Times New Roman"/>
        </w:rPr>
        <w:t>=</w:t>
      </w:r>
      <w:r>
        <w:rPr>
          <w:rFonts w:ascii="Times New Roman" w:eastAsia="楷体" w:hAnsi="Times New Roman" w:cs="Times New Roman"/>
          <w:i/>
          <w:iCs/>
        </w:rPr>
        <w:t>α</w:t>
      </w:r>
      <w:r>
        <w:rPr>
          <w:rFonts w:ascii="Times New Roman" w:eastAsia="楷体" w:hAnsi="Times New Roman" w:cs="Times New Roman" w:hint="eastAsia"/>
          <w:vertAlign w:val="subscript"/>
        </w:rPr>
        <w:t>h</w:t>
      </w:r>
      <w:r>
        <w:rPr>
          <w:rFonts w:ascii="Times New Roman" w:eastAsia="楷体" w:hAnsi="Times New Roman" w:cs="Times New Roman"/>
          <w:i/>
        </w:rPr>
        <w:t>M</w:t>
      </w:r>
      <w:r>
        <w:rPr>
          <w:rFonts w:ascii="Times New Roman" w:eastAsia="楷体" w:hAnsi="Times New Roman" w:cs="Times New Roman"/>
          <w:vertAlign w:val="subscript"/>
        </w:rPr>
        <w:t>Ai</w:t>
      </w:r>
      <w:r>
        <w:rPr>
          <w:rFonts w:ascii="Times New Roman" w:eastAsia="楷体" w:hAnsi="Times New Roman" w:cs="Times New Roman"/>
        </w:rPr>
        <w:t>+</w:t>
      </w:r>
      <w:r>
        <w:rPr>
          <w:rFonts w:ascii="Times New Roman" w:eastAsia="楷体" w:hAnsi="Times New Roman" w:cs="Times New Roman"/>
          <w:i/>
          <w:iCs/>
        </w:rPr>
        <w:t>n</w:t>
      </w:r>
      <w:r>
        <w:rPr>
          <w:rFonts w:ascii="Times New Roman" w:eastAsia="楷体" w:hAnsi="Times New Roman" w:cs="Times New Roman" w:hint="eastAsia"/>
        </w:rPr>
        <w:t>，</w:t>
      </w:r>
      <w:r>
        <w:rPr>
          <w:rFonts w:ascii="Times New Roman" w:eastAsia="楷体" w:hAnsi="Times New Roman" w:cs="Times New Roman"/>
          <w:i/>
          <w:iCs/>
        </w:rPr>
        <w:t>α</w:t>
      </w:r>
      <w:r>
        <w:rPr>
          <w:rFonts w:ascii="Times New Roman" w:eastAsia="楷体" w:hAnsi="Times New Roman" w:cs="Times New Roman" w:hint="eastAsia"/>
          <w:vertAlign w:val="subscript"/>
        </w:rPr>
        <w:t>h</w:t>
      </w:r>
      <w:r>
        <w:rPr>
          <w:rFonts w:ascii="Times New Roman" w:eastAsia="楷体" w:hAnsi="Times New Roman" w:cs="Times New Roman" w:hint="eastAsia"/>
        </w:rPr>
        <w:t>为高度换算系数，</w:t>
      </w:r>
      <w:r>
        <w:rPr>
          <w:rFonts w:ascii="Times New Roman" w:eastAsia="楷体" w:hAnsi="Times New Roman" w:cs="Times New Roman"/>
          <w:szCs w:val="24"/>
        </w:rPr>
        <w:t>800mm</w:t>
      </w:r>
      <w:r>
        <w:rPr>
          <w:rFonts w:ascii="Times New Roman" w:eastAsia="楷体" w:hAnsi="Times New Roman" w:cs="Times New Roman" w:hint="eastAsia"/>
          <w:szCs w:val="24"/>
        </w:rPr>
        <w:t>高、</w:t>
      </w:r>
      <w:r>
        <w:rPr>
          <w:rFonts w:ascii="Times New Roman" w:eastAsia="楷体" w:hAnsi="Times New Roman" w:cs="Times New Roman" w:hint="eastAsia"/>
          <w:szCs w:val="24"/>
        </w:rPr>
        <w:t>9</w:t>
      </w:r>
      <w:r>
        <w:rPr>
          <w:rFonts w:ascii="Times New Roman" w:eastAsia="楷体" w:hAnsi="Times New Roman" w:cs="Times New Roman"/>
          <w:szCs w:val="24"/>
        </w:rPr>
        <w:t>00mm</w:t>
      </w:r>
      <w:r>
        <w:rPr>
          <w:rFonts w:ascii="Times New Roman" w:eastAsia="楷体" w:hAnsi="Times New Roman" w:cs="Times New Roman" w:hint="eastAsia"/>
          <w:szCs w:val="24"/>
        </w:rPr>
        <w:t>高、</w:t>
      </w:r>
      <w:r>
        <w:rPr>
          <w:rFonts w:ascii="Times New Roman" w:eastAsia="楷体" w:hAnsi="Times New Roman" w:cs="Times New Roman" w:hint="eastAsia"/>
          <w:szCs w:val="24"/>
        </w:rPr>
        <w:t>10</w:t>
      </w:r>
      <w:r>
        <w:rPr>
          <w:rFonts w:ascii="Times New Roman" w:eastAsia="楷体" w:hAnsi="Times New Roman" w:cs="Times New Roman"/>
          <w:szCs w:val="24"/>
        </w:rPr>
        <w:t>00mm</w:t>
      </w:r>
      <w:r>
        <w:rPr>
          <w:rFonts w:ascii="Times New Roman" w:eastAsia="楷体" w:hAnsi="Times New Roman" w:cs="Times New Roman" w:hint="eastAsia"/>
          <w:szCs w:val="24"/>
        </w:rPr>
        <w:t>高、</w:t>
      </w:r>
      <w:r>
        <w:rPr>
          <w:rFonts w:ascii="Times New Roman" w:eastAsia="楷体" w:hAnsi="Times New Roman" w:cs="Times New Roman" w:hint="eastAsia"/>
          <w:szCs w:val="24"/>
        </w:rPr>
        <w:t>11</w:t>
      </w:r>
      <w:r>
        <w:rPr>
          <w:rFonts w:ascii="Times New Roman" w:eastAsia="楷体" w:hAnsi="Times New Roman" w:cs="Times New Roman"/>
          <w:szCs w:val="24"/>
        </w:rPr>
        <w:t>00mm</w:t>
      </w:r>
      <w:r>
        <w:rPr>
          <w:rFonts w:ascii="Times New Roman" w:eastAsia="楷体" w:hAnsi="Times New Roman" w:cs="Times New Roman" w:hint="eastAsia"/>
          <w:szCs w:val="24"/>
        </w:rPr>
        <w:t>高分别取</w:t>
      </w:r>
      <w:r>
        <w:rPr>
          <w:rFonts w:ascii="Times New Roman" w:eastAsia="楷体" w:hAnsi="Times New Roman" w:cs="Times New Roman" w:hint="eastAsia"/>
          <w:szCs w:val="24"/>
        </w:rPr>
        <w:t>1.00</w:t>
      </w:r>
      <w:r>
        <w:rPr>
          <w:rFonts w:ascii="Times New Roman" w:eastAsia="楷体" w:hAnsi="Times New Roman" w:cs="Times New Roman" w:hint="eastAsia"/>
          <w:szCs w:val="24"/>
        </w:rPr>
        <w:t>、</w:t>
      </w:r>
      <w:r>
        <w:rPr>
          <w:rFonts w:ascii="Times New Roman" w:eastAsia="楷体" w:hAnsi="Times New Roman" w:cs="Times New Roman" w:hint="eastAsia"/>
          <w:szCs w:val="24"/>
        </w:rPr>
        <w:t>0.89</w:t>
      </w:r>
      <w:r>
        <w:rPr>
          <w:rFonts w:ascii="Times New Roman" w:eastAsia="楷体" w:hAnsi="Times New Roman" w:cs="Times New Roman" w:hint="eastAsia"/>
          <w:szCs w:val="24"/>
        </w:rPr>
        <w:t>、</w:t>
      </w:r>
      <w:r>
        <w:rPr>
          <w:rFonts w:ascii="Times New Roman" w:eastAsia="楷体" w:hAnsi="Times New Roman" w:cs="Times New Roman" w:hint="eastAsia"/>
          <w:szCs w:val="24"/>
        </w:rPr>
        <w:t>0.80</w:t>
      </w:r>
      <w:r>
        <w:rPr>
          <w:rFonts w:ascii="Times New Roman" w:eastAsia="楷体" w:hAnsi="Times New Roman" w:cs="Times New Roman" w:hint="eastAsia"/>
          <w:szCs w:val="24"/>
        </w:rPr>
        <w:t>、</w:t>
      </w:r>
      <w:r>
        <w:rPr>
          <w:rFonts w:ascii="Times New Roman" w:eastAsia="楷体" w:hAnsi="Times New Roman" w:cs="Times New Roman" w:hint="eastAsia"/>
          <w:szCs w:val="24"/>
        </w:rPr>
        <w:t>0.73</w:t>
      </w:r>
      <w:r>
        <w:rPr>
          <w:rFonts w:ascii="Times New Roman" w:eastAsia="楷体" w:hAnsi="Times New Roman" w:cs="Times New Roman" w:hint="eastAsia"/>
        </w:rPr>
        <w:t>。</w:t>
      </w:r>
    </w:p>
    <w:p w14:paraId="0DAA1F2D"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t>7.</w:t>
      </w:r>
      <w:r>
        <w:rPr>
          <w:rFonts w:ascii="Times New Roman" w:eastAsia="楷体" w:hAnsi="Times New Roman" w:cs="Times New Roman"/>
          <w:kern w:val="28"/>
          <w:sz w:val="28"/>
          <w:szCs w:val="28"/>
        </w:rPr>
        <w:t>模型尺寸检查</w:t>
      </w:r>
    </w:p>
    <w:p w14:paraId="527ACC5A"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参赛队员在指定区域用自攻螺钉将模型固定于模型底板上，提交模型，由工作人员指导，参赛队员操作对模型进行尺寸检查。</w:t>
      </w:r>
    </w:p>
    <w:p w14:paraId="4BFE6BB7"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lastRenderedPageBreak/>
        <w:t>8.</w:t>
      </w:r>
      <w:r>
        <w:rPr>
          <w:rFonts w:ascii="Times New Roman" w:eastAsia="楷体" w:hAnsi="Times New Roman" w:cs="Times New Roman"/>
          <w:kern w:val="28"/>
          <w:sz w:val="28"/>
          <w:szCs w:val="28"/>
        </w:rPr>
        <w:t>模型加载过程</w:t>
      </w:r>
    </w:p>
    <w:p w14:paraId="7A772F35"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8.1</w:t>
      </w:r>
      <w:r>
        <w:rPr>
          <w:rFonts w:ascii="Times New Roman" w:eastAsia="楷体" w:hAnsi="Times New Roman" w:cs="Times New Roman"/>
          <w:b/>
        </w:rPr>
        <w:t>加载准备</w:t>
      </w:r>
    </w:p>
    <w:p w14:paraId="495AFB64"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在指定区域使用热熔胶（仅可用于填充模型与顶部砝码盘之间的缝隙）将顶部砝码盘固定在结构顶部区域</w:t>
      </w:r>
      <w:r>
        <w:rPr>
          <w:rFonts w:ascii="Times New Roman" w:eastAsia="楷体" w:hAnsi="Times New Roman" w:cs="Times New Roman" w:hint="eastAsia"/>
        </w:rPr>
        <w:t>预先</w:t>
      </w:r>
      <w:r>
        <w:rPr>
          <w:rFonts w:ascii="Times New Roman" w:eastAsia="楷体" w:hAnsi="Times New Roman" w:cs="Times New Roman"/>
        </w:rPr>
        <w:t>标志</w:t>
      </w:r>
      <w:r>
        <w:rPr>
          <w:rFonts w:ascii="Times New Roman" w:eastAsia="楷体" w:hAnsi="Times New Roman" w:cs="Times New Roman" w:hint="eastAsia"/>
        </w:rPr>
        <w:t>的</w:t>
      </w:r>
      <w:r>
        <w:rPr>
          <w:rFonts w:ascii="Times New Roman" w:eastAsia="楷体" w:hAnsi="Times New Roman" w:cs="Times New Roman"/>
        </w:rPr>
        <w:t>红线</w:t>
      </w:r>
      <w:r>
        <w:rPr>
          <w:rFonts w:ascii="Times New Roman" w:eastAsia="楷体" w:hAnsi="Times New Roman" w:cs="Times New Roman" w:hint="eastAsia"/>
        </w:rPr>
        <w:t>内</w:t>
      </w:r>
      <w:r>
        <w:rPr>
          <w:rFonts w:ascii="Times New Roman" w:eastAsia="楷体" w:hAnsi="Times New Roman" w:cs="Times New Roman"/>
        </w:rPr>
        <w:t>。</w:t>
      </w:r>
      <w:r>
        <w:rPr>
          <w:rFonts w:ascii="Times New Roman" w:eastAsia="楷体" w:hAnsi="Times New Roman" w:cs="Times New Roman" w:hint="eastAsia"/>
        </w:rPr>
        <w:t>注意</w:t>
      </w:r>
      <w:r>
        <w:rPr>
          <w:rFonts w:ascii="Times New Roman" w:eastAsia="楷体" w:hAnsi="Times New Roman" w:cs="Times New Roman"/>
        </w:rPr>
        <w:t>位移反光板需要与模型底板</w:t>
      </w:r>
      <w:r>
        <w:rPr>
          <w:rFonts w:ascii="Times New Roman" w:eastAsia="楷体" w:hAnsi="Times New Roman" w:cs="Times New Roman"/>
          <w:i/>
          <w:iCs/>
        </w:rPr>
        <w:t>X</w:t>
      </w:r>
      <w:r>
        <w:rPr>
          <w:rFonts w:ascii="Times New Roman" w:eastAsia="楷体" w:hAnsi="Times New Roman" w:cs="Times New Roman" w:hint="eastAsia"/>
        </w:rPr>
        <w:t>向</w:t>
      </w:r>
      <w:r>
        <w:rPr>
          <w:rFonts w:ascii="Times New Roman" w:eastAsia="楷体" w:hAnsi="Times New Roman" w:cs="Times New Roman"/>
        </w:rPr>
        <w:t>垂直</w:t>
      </w:r>
      <w:r>
        <w:rPr>
          <w:rFonts w:ascii="Times New Roman" w:eastAsia="楷体" w:hAnsi="Times New Roman" w:cs="Times New Roman" w:hint="eastAsia"/>
        </w:rPr>
        <w:t>，朝向水平加载方向</w:t>
      </w:r>
      <w:r>
        <w:rPr>
          <w:rFonts w:ascii="Times New Roman" w:eastAsia="楷体" w:hAnsi="Times New Roman" w:cs="Times New Roman"/>
        </w:rPr>
        <w:t>。</w:t>
      </w:r>
      <w:r>
        <w:rPr>
          <w:rFonts w:ascii="Times New Roman" w:eastAsia="楷体" w:hAnsi="Times New Roman" w:cs="Times New Roman" w:hint="eastAsia"/>
        </w:rPr>
        <w:t>此环节限时</w:t>
      </w:r>
      <w:r>
        <w:rPr>
          <w:rFonts w:ascii="Times New Roman" w:eastAsia="楷体" w:hAnsi="Times New Roman" w:cs="Times New Roman" w:hint="eastAsia"/>
        </w:rPr>
        <w:t>5</w:t>
      </w:r>
      <w:r>
        <w:rPr>
          <w:rFonts w:ascii="Times New Roman" w:eastAsia="楷体" w:hAnsi="Times New Roman" w:cs="Times New Roman" w:hint="eastAsia"/>
        </w:rPr>
        <w:t>分钟</w:t>
      </w:r>
      <w:r>
        <w:rPr>
          <w:rFonts w:ascii="Times New Roman" w:eastAsia="楷体" w:hAnsi="Times New Roman" w:cs="Times New Roman"/>
        </w:rPr>
        <w:t>。</w:t>
      </w:r>
    </w:p>
    <w:p w14:paraId="426AFDF9"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参赛队员手持模型入场，将模型底板通过专用扭力扳手</w:t>
      </w:r>
      <w:r>
        <w:rPr>
          <w:rFonts w:ascii="Times New Roman" w:eastAsia="楷体" w:hAnsi="Times New Roman" w:cs="Times New Roman" w:hint="eastAsia"/>
        </w:rPr>
        <w:t>对固定螺栓</w:t>
      </w:r>
      <w:r>
        <w:rPr>
          <w:rFonts w:ascii="Times New Roman" w:eastAsia="楷体" w:hAnsi="Times New Roman" w:cs="Times New Roman"/>
        </w:rPr>
        <w:t>施加</w:t>
      </w:r>
      <w:r>
        <w:rPr>
          <w:rFonts w:ascii="Times New Roman" w:eastAsia="楷体" w:hAnsi="Times New Roman" w:cs="Times New Roman" w:hint="eastAsia"/>
        </w:rPr>
        <w:t>扭矩</w:t>
      </w:r>
      <w:r>
        <w:rPr>
          <w:rFonts w:ascii="Times New Roman" w:eastAsia="楷体" w:hAnsi="Times New Roman" w:cs="Times New Roman" w:hint="eastAsia"/>
        </w:rPr>
        <w:t>5</w:t>
      </w:r>
      <w:r>
        <w:rPr>
          <w:rFonts w:ascii="Times New Roman" w:eastAsia="楷体" w:hAnsi="Times New Roman" w:cs="Times New Roman"/>
        </w:rPr>
        <w:t>Nm</w:t>
      </w:r>
      <w:r>
        <w:rPr>
          <w:rFonts w:ascii="Times New Roman" w:eastAsia="楷体" w:hAnsi="Times New Roman" w:cs="Times New Roman" w:hint="eastAsia"/>
        </w:rPr>
        <w:t>（满足加载时可靠固定）</w:t>
      </w:r>
      <w:r>
        <w:rPr>
          <w:rFonts w:ascii="Times New Roman" w:eastAsia="楷体" w:hAnsi="Times New Roman" w:cs="Times New Roman"/>
        </w:rPr>
        <w:t>固定在振动台上；</w:t>
      </w:r>
      <w:r>
        <w:rPr>
          <w:rFonts w:ascii="Times New Roman" w:eastAsia="楷体" w:hAnsi="Times New Roman" w:cs="Times New Roman" w:hint="eastAsia"/>
        </w:rPr>
        <w:t>激光</w:t>
      </w:r>
      <w:r>
        <w:rPr>
          <w:rFonts w:ascii="Times New Roman" w:eastAsia="楷体" w:hAnsi="Times New Roman" w:cs="Times New Roman"/>
        </w:rPr>
        <w:t>位移计应对准反光板</w:t>
      </w:r>
      <w:r>
        <w:rPr>
          <w:rFonts w:ascii="Times New Roman" w:eastAsia="楷体" w:hAnsi="Times New Roman" w:cs="Times New Roman" w:hint="eastAsia"/>
        </w:rPr>
        <w:t>中心区域</w:t>
      </w:r>
      <w:r>
        <w:rPr>
          <w:rFonts w:ascii="Times New Roman" w:eastAsia="楷体" w:hAnsi="Times New Roman" w:cs="Times New Roman"/>
        </w:rPr>
        <w:t>，并显示读数；将螺杆拧进顶部砝码盘，在砝码盘上按赛题要求添加质量为</w:t>
      </w:r>
      <w:r>
        <w:rPr>
          <w:rFonts w:ascii="Times New Roman" w:eastAsia="楷体" w:hAnsi="Times New Roman" w:cs="Times New Roman"/>
          <w:i/>
          <w:iCs/>
        </w:rPr>
        <w:t>m</w:t>
      </w:r>
      <w:r>
        <w:rPr>
          <w:rFonts w:ascii="Times New Roman" w:eastAsia="楷体" w:hAnsi="Times New Roman" w:cs="Times New Roman"/>
          <w:vertAlign w:val="subscript"/>
        </w:rPr>
        <w:t>1</w:t>
      </w:r>
      <w:r>
        <w:rPr>
          <w:rFonts w:ascii="Times New Roman" w:eastAsia="微软雅黑" w:hAnsi="Times New Roman" w:cs="Times New Roman"/>
        </w:rPr>
        <w:t>−</w:t>
      </w:r>
      <w:r>
        <w:rPr>
          <w:rFonts w:ascii="Times New Roman" w:eastAsia="楷体" w:hAnsi="Times New Roman" w:cs="Times New Roman"/>
        </w:rPr>
        <w:t>1</w:t>
      </w:r>
      <w:r>
        <w:rPr>
          <w:rFonts w:ascii="Times New Roman" w:eastAsia="楷体" w:hAnsi="Times New Roman" w:cs="Times New Roman"/>
        </w:rPr>
        <w:t>的顶部砝码后，拧紧蝶形螺母，使顶部砝码和顶部砝码盘固定。每块顶部砝码</w:t>
      </w:r>
      <w:r>
        <w:rPr>
          <w:rFonts w:ascii="Times New Roman" w:eastAsia="楷体" w:hAnsi="Times New Roman" w:cs="Times New Roman" w:hint="eastAsia"/>
        </w:rPr>
        <w:t>侧面</w:t>
      </w:r>
      <w:r>
        <w:rPr>
          <w:rFonts w:ascii="Times New Roman" w:eastAsia="楷体" w:hAnsi="Times New Roman" w:cs="Times New Roman"/>
        </w:rPr>
        <w:t>带有刻度线，参赛队员在固定顶部砝码时须使顶部砝码的</w:t>
      </w:r>
      <w:r>
        <w:rPr>
          <w:rFonts w:ascii="Times New Roman" w:eastAsia="楷体" w:hAnsi="Times New Roman" w:cs="Times New Roman" w:hint="eastAsia"/>
        </w:rPr>
        <w:t>侧面</w:t>
      </w:r>
      <w:r>
        <w:rPr>
          <w:rFonts w:ascii="Times New Roman" w:eastAsia="楷体" w:hAnsi="Times New Roman" w:cs="Times New Roman"/>
        </w:rPr>
        <w:t>刻度线</w:t>
      </w:r>
      <w:r>
        <w:rPr>
          <w:rFonts w:ascii="Times New Roman" w:eastAsia="楷体" w:hAnsi="Times New Roman" w:cs="Times New Roman" w:hint="eastAsia"/>
        </w:rPr>
        <w:t>对齐且对准</w:t>
      </w:r>
      <w:r>
        <w:rPr>
          <w:rFonts w:ascii="Times New Roman" w:eastAsia="楷体" w:hAnsi="Times New Roman" w:cs="Times New Roman"/>
        </w:rPr>
        <w:t>顶部砝码盘</w:t>
      </w:r>
      <w:r>
        <w:rPr>
          <w:rFonts w:ascii="Times New Roman" w:eastAsia="楷体" w:hAnsi="Times New Roman" w:cs="Times New Roman" w:hint="eastAsia"/>
        </w:rPr>
        <w:t>范围</w:t>
      </w:r>
      <w:r>
        <w:rPr>
          <w:rFonts w:ascii="Times New Roman" w:eastAsia="楷体" w:hAnsi="Times New Roman" w:cs="Times New Roman"/>
        </w:rPr>
        <w:t>刻度线；将加速度传感器固定（磁吸）于顶部砝码盘另一侧反光板；保护绳穿过螺杆上端圆孔后与加载辅助框架连接，保护绳在加载过程中应为松弛状态；</w:t>
      </w:r>
      <w:r>
        <w:rPr>
          <w:rFonts w:ascii="Times New Roman" w:eastAsia="楷体" w:hAnsi="Times New Roman" w:cs="Times New Roman" w:hint="eastAsia"/>
        </w:rPr>
        <w:t>保证</w:t>
      </w:r>
      <w:r>
        <w:rPr>
          <w:rFonts w:ascii="Times New Roman" w:eastAsia="楷体" w:hAnsi="Times New Roman" w:cs="Times New Roman"/>
        </w:rPr>
        <w:t>顶部砝码盘</w:t>
      </w:r>
      <w:r>
        <w:rPr>
          <w:rFonts w:ascii="Times New Roman" w:eastAsia="楷体" w:hAnsi="Times New Roman" w:cs="Times New Roman" w:hint="eastAsia"/>
        </w:rPr>
        <w:t>位置满足</w:t>
      </w:r>
      <w:r>
        <w:rPr>
          <w:rFonts w:ascii="Times New Roman" w:eastAsia="楷体" w:hAnsi="Times New Roman" w:cs="Times New Roman" w:hint="eastAsia"/>
        </w:rPr>
        <w:t>1.2</w:t>
      </w:r>
      <w:r>
        <w:rPr>
          <w:rFonts w:ascii="Times New Roman" w:eastAsia="楷体" w:hAnsi="Times New Roman" w:cs="Times New Roman" w:hint="eastAsia"/>
        </w:rPr>
        <w:t>（</w:t>
      </w:r>
      <w:r>
        <w:rPr>
          <w:rFonts w:ascii="Times New Roman" w:eastAsia="楷体" w:hAnsi="Times New Roman" w:cs="Times New Roman" w:hint="eastAsia"/>
        </w:rPr>
        <w:t>1</w:t>
      </w:r>
      <w:r>
        <w:rPr>
          <w:rFonts w:ascii="Times New Roman" w:eastAsia="楷体" w:hAnsi="Times New Roman" w:cs="Times New Roman" w:hint="eastAsia"/>
        </w:rPr>
        <w:t>）要求；</w:t>
      </w:r>
      <w:r>
        <w:rPr>
          <w:rFonts w:ascii="Times New Roman" w:eastAsia="楷体" w:hAnsi="Times New Roman" w:cs="Times New Roman"/>
        </w:rPr>
        <w:t>以上顺序可根据需要调整。</w:t>
      </w:r>
      <w:r>
        <w:rPr>
          <w:rFonts w:ascii="Times New Roman" w:eastAsia="楷体" w:hAnsi="Times New Roman" w:cs="Times New Roman" w:hint="eastAsia"/>
        </w:rPr>
        <w:t>此环节限时</w:t>
      </w:r>
      <w:r>
        <w:rPr>
          <w:rFonts w:ascii="Times New Roman" w:eastAsia="楷体" w:hAnsi="Times New Roman" w:cs="Times New Roman" w:hint="eastAsia"/>
        </w:rPr>
        <w:t>5</w:t>
      </w:r>
      <w:r>
        <w:rPr>
          <w:rFonts w:ascii="Times New Roman" w:eastAsia="楷体" w:hAnsi="Times New Roman" w:cs="Times New Roman" w:hint="eastAsia"/>
        </w:rPr>
        <w:t>分钟。</w:t>
      </w:r>
    </w:p>
    <w:p w14:paraId="1D9E20B6"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8.2</w:t>
      </w:r>
      <w:r>
        <w:rPr>
          <w:rFonts w:ascii="Times New Roman" w:eastAsia="楷体" w:hAnsi="Times New Roman" w:cs="Times New Roman"/>
          <w:b/>
        </w:rPr>
        <w:t>加载步骤</w:t>
      </w:r>
    </w:p>
    <w:p w14:paraId="5659A521" w14:textId="77777777" w:rsidR="00A84A4C"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）第一级加载</w:t>
      </w:r>
    </w:p>
    <w:p w14:paraId="4820D9F9"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第一级加载为水平激励振动。振动台以</w:t>
      </w:r>
      <w:r>
        <w:rPr>
          <w:rFonts w:ascii="Times New Roman" w:eastAsia="楷体" w:hAnsi="Times New Roman" w:cs="Times New Roman" w:hint="eastAsia"/>
        </w:rPr>
        <w:t>给定振动波形（见图</w:t>
      </w:r>
      <w:r>
        <w:rPr>
          <w:rFonts w:ascii="Times New Roman" w:eastAsia="楷体" w:hAnsi="Times New Roman" w:cs="Times New Roman" w:hint="eastAsia"/>
        </w:rPr>
        <w:t>8.2-1</w:t>
      </w:r>
      <w:r>
        <w:rPr>
          <w:rFonts w:ascii="Times New Roman" w:eastAsia="楷体" w:hAnsi="Times New Roman" w:cs="Times New Roman" w:hint="eastAsia"/>
        </w:rPr>
        <w:t>，</w:t>
      </w:r>
      <w:r>
        <w:rPr>
          <w:rFonts w:ascii="Times New Roman" w:eastAsia="楷体" w:hAnsi="Times New Roman" w:cs="Times New Roman" w:hint="eastAsia"/>
          <w:color w:val="FF0000"/>
        </w:rPr>
        <w:t>参数见附件</w:t>
      </w:r>
      <w:r>
        <w:rPr>
          <w:rFonts w:ascii="Times New Roman" w:eastAsia="楷体" w:hAnsi="Times New Roman" w:cs="Times New Roman" w:hint="eastAsia"/>
          <w:color w:val="FF0000"/>
        </w:rPr>
        <w:t>2</w:t>
      </w:r>
      <w:r>
        <w:rPr>
          <w:rFonts w:ascii="Times New Roman" w:eastAsia="楷体" w:hAnsi="Times New Roman" w:cs="Times New Roman" w:hint="eastAsia"/>
        </w:rPr>
        <w:t>）</w:t>
      </w:r>
      <w:r>
        <w:rPr>
          <w:rFonts w:ascii="Times New Roman" w:eastAsia="楷体" w:hAnsi="Times New Roman" w:cs="Times New Roman"/>
        </w:rPr>
        <w:t>单向振动。</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顶部砝码相对转动不超</w:t>
      </w:r>
      <w:r>
        <w:rPr>
          <w:rFonts w:ascii="Times New Roman" w:eastAsia="楷体" w:hAnsi="Times New Roman" w:cs="Times New Roman"/>
        </w:rPr>
        <w:t>刻度线，</w:t>
      </w:r>
      <w:r>
        <w:rPr>
          <w:rFonts w:ascii="Times New Roman" w:eastAsia="楷体" w:hAnsi="Times New Roman" w:cs="Times New Roman" w:hint="eastAsia"/>
        </w:rPr>
        <w:t>振动前后</w:t>
      </w:r>
      <w:r>
        <w:rPr>
          <w:rFonts w:ascii="Times New Roman" w:eastAsia="楷体" w:hAnsi="Times New Roman" w:cs="Times New Roman"/>
        </w:rPr>
        <w:t>顶点位移</w:t>
      </w:r>
      <w:r>
        <w:rPr>
          <w:rFonts w:ascii="Times New Roman" w:eastAsia="楷体" w:hAnsi="Times New Roman" w:cs="Times New Roman"/>
          <w:i/>
          <w:iCs/>
        </w:rPr>
        <w:t>u</w:t>
      </w:r>
      <w:r>
        <w:rPr>
          <w:rFonts w:ascii="Times New Roman" w:eastAsia="楷体" w:hAnsi="Times New Roman" w:cs="Times New Roman" w:hint="eastAsia"/>
          <w:vertAlign w:val="subscript"/>
        </w:rPr>
        <w:t>1</w:t>
      </w:r>
      <w:r>
        <w:rPr>
          <w:rFonts w:ascii="Times New Roman" w:eastAsia="楷体" w:hAnsi="Times New Roman" w:cs="Times New Roman"/>
        </w:rPr>
        <w:t>≤</w:t>
      </w:r>
      <w:r>
        <w:rPr>
          <w:rFonts w:ascii="Times New Roman" w:eastAsia="楷体" w:hAnsi="Times New Roman" w:cs="Times New Roman" w:hint="eastAsia"/>
        </w:rPr>
        <w:t>2mm</w:t>
      </w:r>
      <w:r>
        <w:rPr>
          <w:rFonts w:ascii="Times New Roman" w:eastAsia="楷体" w:hAnsi="Times New Roman" w:cs="Times New Roman"/>
        </w:rPr>
        <w:t>，则该级加载</w:t>
      </w:r>
      <w:r>
        <w:rPr>
          <w:rFonts w:ascii="Times New Roman" w:eastAsia="楷体" w:hAnsi="Times New Roman" w:cs="Times New Roman" w:hint="eastAsia"/>
        </w:rPr>
        <w:t>成功</w:t>
      </w:r>
      <w:r>
        <w:rPr>
          <w:rFonts w:ascii="Times New Roman" w:eastAsia="宋体" w:hAnsi="Times New Roman" w:cs="Times New Roman"/>
          <w:szCs w:val="24"/>
        </w:rPr>
        <w:t>。</w:t>
      </w:r>
      <w:r>
        <w:rPr>
          <w:rFonts w:ascii="Times New Roman" w:eastAsia="楷体" w:hAnsi="Times New Roman" w:cs="Times New Roman"/>
        </w:rPr>
        <w:t>记录模型顶点加速度</w:t>
      </w:r>
      <w:r>
        <w:rPr>
          <w:rFonts w:ascii="Times New Roman" w:eastAsia="楷体" w:hAnsi="Times New Roman" w:cs="Times New Roman" w:hint="eastAsia"/>
        </w:rPr>
        <w:t>绝对值</w:t>
      </w:r>
      <w:r>
        <w:rPr>
          <w:rFonts w:ascii="Times New Roman" w:eastAsia="楷体" w:hAnsi="Times New Roman" w:cs="Times New Roman"/>
        </w:rPr>
        <w:t>最大</w:t>
      </w:r>
      <w:r>
        <w:rPr>
          <w:rFonts w:ascii="Times New Roman" w:eastAsia="楷体" w:hAnsi="Times New Roman" w:cs="Times New Roman" w:hint="eastAsia"/>
        </w:rPr>
        <w:t>值，记为</w:t>
      </w:r>
      <w:r>
        <w:rPr>
          <w:rFonts w:ascii="Times New Roman" w:eastAsia="楷体" w:hAnsi="Times New Roman" w:cs="Times New Roman"/>
          <w:i/>
          <w:iCs/>
        </w:rPr>
        <w:t>a</w:t>
      </w:r>
      <w:r>
        <w:rPr>
          <w:rFonts w:ascii="Times New Roman" w:eastAsia="楷体" w:hAnsi="Times New Roman" w:cs="Times New Roman"/>
          <w:szCs w:val="24"/>
        </w:rPr>
        <w:t>（单位：</w:t>
      </w:r>
      <w:r>
        <w:rPr>
          <w:rFonts w:ascii="Times New Roman" w:eastAsia="楷体" w:hAnsi="Times New Roman" w:cs="Times New Roman"/>
          <w:szCs w:val="24"/>
        </w:rPr>
        <w:t>m/s</w:t>
      </w:r>
      <w:r>
        <w:rPr>
          <w:rFonts w:ascii="Times New Roman" w:eastAsia="楷体" w:hAnsi="Times New Roman" w:cs="Times New Roman"/>
          <w:szCs w:val="24"/>
          <w:vertAlign w:val="superscript"/>
        </w:rPr>
        <w:t>2</w:t>
      </w:r>
      <w:r>
        <w:rPr>
          <w:rFonts w:ascii="Times New Roman" w:eastAsia="楷体" w:hAnsi="Times New Roman" w:cs="Times New Roman"/>
          <w:szCs w:val="24"/>
        </w:rPr>
        <w:t>）</w:t>
      </w:r>
      <w:r>
        <w:rPr>
          <w:rFonts w:ascii="Times New Roman" w:eastAsia="楷体" w:hAnsi="Times New Roman" w:cs="Times New Roman" w:hint="eastAsia"/>
        </w:rPr>
        <w:t>，</w:t>
      </w:r>
      <w:r>
        <w:rPr>
          <w:rFonts w:ascii="Times New Roman" w:eastAsia="楷体" w:hAnsi="Times New Roman" w:cs="Times New Roman"/>
        </w:rPr>
        <w:t>进行下一级加载。</w:t>
      </w:r>
    </w:p>
    <w:p w14:paraId="2F571062" w14:textId="77777777" w:rsidR="00A84A4C" w:rsidRDefault="0000000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183A9EE3" wp14:editId="1BEE1ACC">
            <wp:extent cx="6120130" cy="2273300"/>
            <wp:effectExtent l="0" t="0" r="13970" b="12700"/>
            <wp:docPr id="2568878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87875"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130" cy="2273300"/>
                    </a:xfrm>
                    <a:prstGeom prst="rect">
                      <a:avLst/>
                    </a:prstGeom>
                    <a:noFill/>
                    <a:ln>
                      <a:noFill/>
                    </a:ln>
                  </pic:spPr>
                </pic:pic>
              </a:graphicData>
            </a:graphic>
          </wp:inline>
        </w:drawing>
      </w:r>
    </w:p>
    <w:p w14:paraId="3A1C3ACC" w14:textId="77777777" w:rsidR="00A84A4C" w:rsidRDefault="00000000">
      <w:pPr>
        <w:spacing w:line="360" w:lineRule="auto"/>
        <w:jc w:val="center"/>
        <w:rPr>
          <w:rFonts w:ascii="Times New Roman" w:eastAsia="楷体" w:hAnsi="Times New Roman" w:cs="Times New Roman"/>
          <w:szCs w:val="24"/>
        </w:rPr>
      </w:pPr>
      <w:r>
        <w:rPr>
          <w:rFonts w:ascii="Times New Roman" w:eastAsia="楷体" w:hAnsi="Times New Roman" w:cs="Times New Roman"/>
          <w:szCs w:val="24"/>
        </w:rPr>
        <w:t>图</w:t>
      </w:r>
      <w:r>
        <w:rPr>
          <w:rFonts w:ascii="Times New Roman" w:eastAsia="楷体" w:hAnsi="Times New Roman" w:cs="Times New Roman" w:hint="eastAsia"/>
          <w:szCs w:val="24"/>
        </w:rPr>
        <w:t>8.2-1</w:t>
      </w:r>
      <w:r>
        <w:rPr>
          <w:rFonts w:ascii="Times New Roman" w:eastAsia="楷体" w:hAnsi="Times New Roman" w:cs="Times New Roman"/>
          <w:szCs w:val="24"/>
        </w:rPr>
        <w:t xml:space="preserve"> </w:t>
      </w:r>
      <w:r>
        <w:rPr>
          <w:rFonts w:ascii="Times New Roman" w:eastAsia="楷体" w:hAnsi="Times New Roman" w:cs="Times New Roman" w:hint="eastAsia"/>
          <w:szCs w:val="24"/>
        </w:rPr>
        <w:t>第一级加载振动台位移时程曲线</w:t>
      </w:r>
    </w:p>
    <w:p w14:paraId="68086A9D" w14:textId="77777777" w:rsidR="00A84A4C" w:rsidRDefault="00000000">
      <w:pPr>
        <w:spacing w:line="360" w:lineRule="auto"/>
        <w:jc w:val="left"/>
        <w:rPr>
          <w:rFonts w:ascii="Times New Roman" w:eastAsia="楷体" w:hAnsi="Times New Roman" w:cs="Times New Roman"/>
        </w:rPr>
      </w:pPr>
      <w:r>
        <w:rPr>
          <w:rFonts w:ascii="Times New Roman" w:eastAsia="楷体" w:hAnsi="Times New Roman" w:cs="Times New Roman"/>
        </w:rPr>
        <w:lastRenderedPageBreak/>
        <w:t>（</w:t>
      </w:r>
      <w:r>
        <w:rPr>
          <w:rFonts w:ascii="Times New Roman" w:eastAsia="楷体" w:hAnsi="Times New Roman" w:cs="Times New Roman"/>
        </w:rPr>
        <w:t>2</w:t>
      </w:r>
      <w:r>
        <w:rPr>
          <w:rFonts w:ascii="Times New Roman" w:eastAsia="楷体" w:hAnsi="Times New Roman" w:cs="Times New Roman"/>
        </w:rPr>
        <w:t>）第二级加载</w:t>
      </w:r>
    </w:p>
    <w:p w14:paraId="25EF0651"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第二级加载为水平静载。参赛队员将</w:t>
      </w:r>
      <w:r>
        <w:rPr>
          <w:rFonts w:ascii="Times New Roman" w:eastAsia="楷体" w:hAnsi="Times New Roman" w:cs="Times New Roman" w:hint="eastAsia"/>
        </w:rPr>
        <w:t>第</w:t>
      </w:r>
      <w:r>
        <w:rPr>
          <w:rFonts w:ascii="Times New Roman" w:eastAsia="楷体" w:hAnsi="Times New Roman" w:cs="Times New Roman"/>
        </w:rPr>
        <w:t>二级加载所用的钢丝绳放置于滑轮导轨上，一端连接侧向力砝码盘，另一端连接顶部砝码盘。在侧向力砝码盘上放置质量</w:t>
      </w:r>
      <w:r>
        <w:rPr>
          <w:rFonts w:ascii="Times New Roman" w:eastAsia="楷体" w:hAnsi="Times New Roman" w:cs="Times New Roman"/>
          <w:i/>
          <w:iCs/>
        </w:rPr>
        <w:t>m</w:t>
      </w:r>
      <w:r>
        <w:rPr>
          <w:rFonts w:ascii="Times New Roman" w:eastAsia="楷体" w:hAnsi="Times New Roman" w:cs="Times New Roman"/>
          <w:vertAlign w:val="subscript"/>
        </w:rPr>
        <w:t>2</w:t>
      </w:r>
      <w:r>
        <w:rPr>
          <w:rFonts w:ascii="Times New Roman" w:eastAsia="楷体" w:hAnsi="Times New Roman" w:cs="Times New Roman"/>
        </w:rPr>
        <w:t>砝码模拟水平荷载，持时</w:t>
      </w:r>
      <w:r>
        <w:rPr>
          <w:rFonts w:ascii="Times New Roman" w:eastAsia="楷体" w:hAnsi="Times New Roman" w:cs="Times New Roman"/>
        </w:rPr>
        <w:t>10s</w:t>
      </w:r>
      <w:r>
        <w:rPr>
          <w:rFonts w:ascii="Times New Roman" w:eastAsia="楷体" w:hAnsi="Times New Roman" w:cs="Times New Roman"/>
        </w:rPr>
        <w:t>以上，</w:t>
      </w:r>
      <w:r>
        <w:rPr>
          <w:rFonts w:ascii="Times New Roman" w:eastAsia="楷体" w:hAnsi="Times New Roman" w:cs="Times New Roman" w:hint="eastAsia"/>
        </w:rPr>
        <w:t>以第一级加载结束位置为起点，</w:t>
      </w:r>
      <w:r>
        <w:rPr>
          <w:rFonts w:ascii="Times New Roman" w:eastAsia="楷体" w:hAnsi="Times New Roman" w:cs="Times New Roman"/>
        </w:rPr>
        <w:t>计算顶点位移</w:t>
      </w:r>
      <w:r>
        <w:rPr>
          <w:rFonts w:ascii="Times New Roman" w:eastAsia="楷体" w:hAnsi="Times New Roman" w:cs="Times New Roman"/>
          <w:i/>
          <w:iCs/>
        </w:rPr>
        <w:t>u</w:t>
      </w:r>
      <w:r>
        <w:rPr>
          <w:rFonts w:ascii="Times New Roman" w:eastAsia="楷体" w:hAnsi="Times New Roman" w:cs="Times New Roman" w:hint="eastAsia"/>
          <w:vertAlign w:val="subscript"/>
        </w:rPr>
        <w:t>2</w:t>
      </w:r>
      <w:r>
        <w:rPr>
          <w:rFonts w:ascii="Times New Roman" w:eastAsia="楷体" w:hAnsi="Times New Roman" w:cs="Times New Roman"/>
        </w:rPr>
        <w:t>，</w:t>
      </w:r>
      <w:r>
        <w:rPr>
          <w:rFonts w:ascii="Times New Roman" w:eastAsia="楷体" w:hAnsi="Times New Roman" w:cs="Times New Roman" w:hint="eastAsia"/>
        </w:rPr>
        <w:t>要求</w:t>
      </w:r>
      <w:r>
        <w:rPr>
          <w:rFonts w:ascii="Times New Roman" w:eastAsia="楷体" w:hAnsi="Times New Roman" w:cs="Times New Roman"/>
        </w:rPr>
        <w:t>满足</w:t>
      </w:r>
      <w:r>
        <w:rPr>
          <w:rFonts w:ascii="Times New Roman" w:eastAsia="楷体" w:hAnsi="Times New Roman" w:cs="Times New Roman"/>
          <w:i/>
          <w:iCs/>
        </w:rPr>
        <w:t>u</w:t>
      </w:r>
      <w:r>
        <w:rPr>
          <w:rFonts w:ascii="Times New Roman" w:eastAsia="楷体" w:hAnsi="Times New Roman" w:cs="Times New Roman" w:hint="eastAsia"/>
          <w:vertAlign w:val="subscript"/>
        </w:rPr>
        <w:t>2</w:t>
      </w:r>
      <w:r>
        <w:rPr>
          <w:rFonts w:ascii="Times New Roman" w:eastAsia="楷体" w:hAnsi="Times New Roman" w:cs="Times New Roman"/>
        </w:rPr>
        <w:t>≤</w:t>
      </w:r>
      <w:r>
        <w:rPr>
          <w:rFonts w:ascii="Times New Roman" w:eastAsia="楷体" w:hAnsi="Times New Roman" w:cs="Times New Roman"/>
          <w:i/>
          <w:iCs/>
        </w:rPr>
        <w:t>u</w:t>
      </w:r>
      <w:r>
        <w:rPr>
          <w:rFonts w:ascii="Times New Roman" w:eastAsia="楷体" w:hAnsi="Times New Roman" w:cs="Times New Roman"/>
          <w:vertAlign w:val="subscript"/>
        </w:rPr>
        <w:t>0</w:t>
      </w:r>
      <w:r>
        <w:rPr>
          <w:rFonts w:ascii="Times New Roman" w:eastAsia="楷体" w:hAnsi="Times New Roman" w:cs="Times New Roman"/>
        </w:rPr>
        <w:t>，则该级加载</w:t>
      </w:r>
      <w:r>
        <w:rPr>
          <w:rFonts w:ascii="Times New Roman" w:eastAsia="楷体" w:hAnsi="Times New Roman" w:cs="Times New Roman" w:hint="eastAsia"/>
        </w:rPr>
        <w:t>成功，撤掉水平荷载，</w:t>
      </w:r>
      <w:r>
        <w:rPr>
          <w:rFonts w:ascii="Times New Roman" w:eastAsia="楷体" w:hAnsi="Times New Roman" w:cs="Times New Roman"/>
        </w:rPr>
        <w:t>进行下一级加载。</w:t>
      </w:r>
    </w:p>
    <w:p w14:paraId="5DD21FE0" w14:textId="77777777" w:rsidR="00A84A4C"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）第三级加载</w:t>
      </w:r>
    </w:p>
    <w:p w14:paraId="611DB508"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第三级加载开始前，参赛队员按预定计划增减顶部砝码质量，</w:t>
      </w:r>
      <w:r>
        <w:rPr>
          <w:rFonts w:ascii="Times New Roman" w:eastAsia="楷体" w:hAnsi="Times New Roman" w:cs="Times New Roman" w:hint="eastAsia"/>
        </w:rPr>
        <w:t>也可改变模型结构，期间只允许参赛队员用手或者使用统一的水口钳触碰模型。</w:t>
      </w:r>
    </w:p>
    <w:p w14:paraId="4BB6D9E2"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3</w:t>
      </w:r>
      <w:r>
        <w:rPr>
          <w:rFonts w:ascii="Times New Roman" w:eastAsia="楷体" w:hAnsi="Times New Roman" w:cs="Times New Roman"/>
        </w:rPr>
        <w:t>的正弦</w:t>
      </w:r>
      <w:r>
        <w:rPr>
          <w:rFonts w:ascii="Times New Roman" w:eastAsia="楷体" w:hAnsi="Times New Roman" w:cs="Times New Roman" w:hint="eastAsia"/>
        </w:rPr>
        <w:t>波</w:t>
      </w:r>
      <w:r>
        <w:rPr>
          <w:rFonts w:ascii="Times New Roman" w:eastAsia="楷体" w:hAnsi="Times New Roman" w:cs="Times New Roman"/>
        </w:rPr>
        <w:t>单向振动，振幅</w:t>
      </w:r>
      <w:r>
        <w:rPr>
          <w:rFonts w:ascii="Times New Roman" w:eastAsia="楷体" w:hAnsi="Times New Roman" w:cs="Times New Roman" w:hint="eastAsia"/>
        </w:rPr>
        <w:t>1</w:t>
      </w:r>
      <w:r>
        <w:rPr>
          <w:rFonts w:ascii="Times New Roman" w:eastAsia="楷体" w:hAnsi="Times New Roman" w:cs="Times New Roman"/>
        </w:rPr>
        <w:t>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顶部砝码相对转动不超</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宋体" w:hAnsi="Times New Roman" w:cs="Times New Roman"/>
          <w:szCs w:val="24"/>
        </w:rPr>
        <w:t>。</w:t>
      </w:r>
    </w:p>
    <w:p w14:paraId="40D1951C"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从第一级加载至第三级</w:t>
      </w:r>
      <w:r>
        <w:rPr>
          <w:rFonts w:ascii="Times New Roman" w:eastAsia="楷体" w:hAnsi="Times New Roman" w:cs="Times New Roman"/>
        </w:rPr>
        <w:t>加载完成</w:t>
      </w:r>
      <w:r>
        <w:rPr>
          <w:rFonts w:ascii="Times New Roman" w:eastAsia="楷体" w:hAnsi="Times New Roman" w:cs="Times New Roman" w:hint="eastAsia"/>
        </w:rPr>
        <w:t>，且</w:t>
      </w:r>
      <w:r>
        <w:rPr>
          <w:rFonts w:ascii="Times New Roman" w:eastAsia="楷体" w:hAnsi="Times New Roman" w:cs="Times New Roman"/>
        </w:rPr>
        <w:t>全部参赛队员携带模型离开加载区域</w:t>
      </w:r>
      <w:r>
        <w:rPr>
          <w:rFonts w:ascii="Times New Roman" w:eastAsia="楷体" w:hAnsi="Times New Roman" w:cs="Times New Roman" w:hint="eastAsia"/>
        </w:rPr>
        <w:t>的总</w:t>
      </w:r>
      <w:r>
        <w:rPr>
          <w:rFonts w:ascii="Times New Roman" w:eastAsia="楷体" w:hAnsi="Times New Roman" w:cs="Times New Roman"/>
        </w:rPr>
        <w:t>时间限</w:t>
      </w:r>
      <w:r>
        <w:rPr>
          <w:rFonts w:ascii="Times New Roman" w:eastAsia="楷体" w:hAnsi="Times New Roman" w:cs="Times New Roman" w:hint="eastAsia"/>
        </w:rPr>
        <w:t>制为</w:t>
      </w:r>
      <w:r>
        <w:rPr>
          <w:rFonts w:ascii="Times New Roman" w:eastAsia="楷体" w:hAnsi="Times New Roman" w:cs="Times New Roman" w:hint="eastAsia"/>
        </w:rPr>
        <w:t>10</w:t>
      </w:r>
      <w:r>
        <w:rPr>
          <w:rFonts w:ascii="Times New Roman" w:eastAsia="楷体" w:hAnsi="Times New Roman" w:cs="Times New Roman"/>
        </w:rPr>
        <w:t>分钟。</w:t>
      </w:r>
    </w:p>
    <w:p w14:paraId="43521D20"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t>9.</w:t>
      </w:r>
      <w:r>
        <w:rPr>
          <w:rFonts w:ascii="Times New Roman" w:eastAsia="楷体" w:hAnsi="Times New Roman" w:cs="Times New Roman" w:hint="eastAsia"/>
          <w:kern w:val="28"/>
          <w:sz w:val="28"/>
          <w:szCs w:val="28"/>
        </w:rPr>
        <w:t>计分与评判</w:t>
      </w:r>
      <w:r>
        <w:rPr>
          <w:rFonts w:ascii="Times New Roman" w:eastAsia="楷体" w:hAnsi="Times New Roman" w:cs="Times New Roman"/>
          <w:kern w:val="28"/>
          <w:sz w:val="28"/>
          <w:szCs w:val="28"/>
        </w:rPr>
        <w:t>标准</w:t>
      </w:r>
    </w:p>
    <w:p w14:paraId="4034392E"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9.1</w:t>
      </w:r>
      <w:r>
        <w:rPr>
          <w:rFonts w:ascii="Times New Roman" w:eastAsia="楷体" w:hAnsi="Times New Roman" w:cs="Times New Roman" w:hint="eastAsia"/>
          <w:b/>
        </w:rPr>
        <w:t>模型违规评判标准</w:t>
      </w:r>
    </w:p>
    <w:p w14:paraId="2E826A69" w14:textId="77777777" w:rsidR="00A84A4C" w:rsidRDefault="00000000">
      <w:pPr>
        <w:spacing w:line="360" w:lineRule="auto"/>
        <w:ind w:left="567"/>
        <w:jc w:val="left"/>
        <w:rPr>
          <w:rFonts w:ascii="Times New Roman" w:eastAsia="楷体" w:hAnsi="Times New Roman" w:cs="Times New Roman"/>
        </w:rPr>
      </w:pPr>
      <w:r>
        <w:rPr>
          <w:rFonts w:ascii="Times New Roman" w:eastAsia="楷体" w:hAnsi="Times New Roman" w:cs="Times New Roman"/>
        </w:rPr>
        <w:t>加载过程中，若出现以下情况之一，判定违规，取消比赛资格：</w:t>
      </w:r>
    </w:p>
    <w:p w14:paraId="5C3909AC" w14:textId="77777777" w:rsidR="00A84A4C" w:rsidRDefault="00000000">
      <w:pPr>
        <w:numPr>
          <w:ilvl w:val="0"/>
          <w:numId w:val="1"/>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不满足表</w:t>
      </w:r>
      <w:r>
        <w:rPr>
          <w:rFonts w:ascii="Times New Roman" w:eastAsia="楷体" w:hAnsi="Times New Roman" w:cs="Times New Roman" w:hint="eastAsia"/>
        </w:rPr>
        <w:t>5-</w:t>
      </w:r>
      <w:r>
        <w:rPr>
          <w:rFonts w:ascii="Times New Roman" w:eastAsia="楷体" w:hAnsi="Times New Roman" w:cs="Times New Roman"/>
        </w:rPr>
        <w:t>1</w:t>
      </w:r>
      <w:r>
        <w:rPr>
          <w:rFonts w:ascii="Times New Roman" w:eastAsia="楷体" w:hAnsi="Times New Roman" w:cs="Times New Roman"/>
        </w:rPr>
        <w:t>关于模型材料使用的相关要求；</w:t>
      </w:r>
    </w:p>
    <w:p w14:paraId="1334E8EC" w14:textId="77777777" w:rsidR="00A84A4C" w:rsidRDefault="00000000">
      <w:pPr>
        <w:numPr>
          <w:ilvl w:val="0"/>
          <w:numId w:val="1"/>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模型不符合</w:t>
      </w:r>
      <w:r>
        <w:rPr>
          <w:rFonts w:ascii="Times New Roman" w:eastAsia="楷体" w:hAnsi="Times New Roman" w:cs="Times New Roman" w:hint="eastAsia"/>
        </w:rPr>
        <w:t>1</w:t>
      </w:r>
      <w:r>
        <w:rPr>
          <w:rFonts w:ascii="Times New Roman" w:eastAsia="楷体" w:hAnsi="Times New Roman" w:cs="Times New Roman"/>
        </w:rPr>
        <w:t>.2</w:t>
      </w:r>
      <w:r>
        <w:rPr>
          <w:rFonts w:ascii="Times New Roman" w:eastAsia="楷体" w:hAnsi="Times New Roman" w:cs="Times New Roman"/>
        </w:rPr>
        <w:t>尺寸要求</w:t>
      </w:r>
      <w:r>
        <w:rPr>
          <w:rFonts w:ascii="Times New Roman" w:eastAsia="楷体" w:hAnsi="Times New Roman" w:cs="Times New Roman" w:hint="eastAsia"/>
        </w:rPr>
        <w:t>；</w:t>
      </w:r>
    </w:p>
    <w:p w14:paraId="6FD86C9D" w14:textId="77777777" w:rsidR="00A84A4C" w:rsidRDefault="00000000">
      <w:pPr>
        <w:numPr>
          <w:ilvl w:val="0"/>
          <w:numId w:val="1"/>
        </w:numPr>
        <w:spacing w:line="360" w:lineRule="auto"/>
        <w:ind w:left="0" w:firstLine="567"/>
        <w:jc w:val="left"/>
        <w:rPr>
          <w:rFonts w:ascii="Times New Roman" w:eastAsia="楷体" w:hAnsi="Times New Roman" w:cs="Times New Roman"/>
        </w:rPr>
      </w:pPr>
      <w:r>
        <w:rPr>
          <w:rFonts w:ascii="Times New Roman" w:eastAsia="楷体" w:hAnsi="Times New Roman" w:cs="Times New Roman" w:hint="eastAsia"/>
        </w:rPr>
        <w:t xml:space="preserve"> </w:t>
      </w:r>
      <w:r>
        <w:rPr>
          <w:rFonts w:ascii="Times New Roman" w:eastAsia="楷体" w:hAnsi="Times New Roman" w:cs="Times New Roman" w:hint="eastAsia"/>
        </w:rPr>
        <w:t>不满足</w:t>
      </w:r>
      <w:r>
        <w:rPr>
          <w:rFonts w:ascii="Times New Roman" w:eastAsia="楷体" w:hAnsi="Times New Roman" w:cs="Times New Roman" w:hint="eastAsia"/>
        </w:rPr>
        <w:t>8</w:t>
      </w:r>
      <w:r>
        <w:rPr>
          <w:rFonts w:ascii="Times New Roman" w:eastAsia="楷体" w:hAnsi="Times New Roman" w:cs="Times New Roman"/>
        </w:rPr>
        <w:t>.1</w:t>
      </w:r>
      <w:r>
        <w:rPr>
          <w:rFonts w:ascii="Times New Roman" w:eastAsia="楷体" w:hAnsi="Times New Roman" w:cs="Times New Roman" w:hint="eastAsia"/>
        </w:rPr>
        <w:t>中关于热熔胶使用的要求。</w:t>
      </w:r>
    </w:p>
    <w:p w14:paraId="5CCBBCCB"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9.</w:t>
      </w:r>
      <w:bookmarkStart w:id="9" w:name="_Toc13071"/>
      <w:bookmarkStart w:id="10" w:name="_Toc21511"/>
      <w:r>
        <w:rPr>
          <w:rFonts w:ascii="Times New Roman" w:eastAsia="楷体" w:hAnsi="Times New Roman" w:cs="Times New Roman" w:hint="eastAsia"/>
          <w:b/>
        </w:rPr>
        <w:t>2</w:t>
      </w:r>
      <w:r>
        <w:rPr>
          <w:rFonts w:ascii="Times New Roman" w:eastAsia="楷体" w:hAnsi="Times New Roman" w:cs="Times New Roman"/>
          <w:b/>
        </w:rPr>
        <w:t>加载失效评判</w:t>
      </w:r>
      <w:bookmarkEnd w:id="9"/>
      <w:bookmarkEnd w:id="10"/>
      <w:r>
        <w:rPr>
          <w:rFonts w:ascii="Times New Roman" w:eastAsia="楷体" w:hAnsi="Times New Roman" w:cs="Times New Roman"/>
          <w:b/>
        </w:rPr>
        <w:t>标准</w:t>
      </w:r>
    </w:p>
    <w:p w14:paraId="0F169808"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加载过程中，若出现以下情况之一，则</w:t>
      </w:r>
      <w:r>
        <w:rPr>
          <w:rFonts w:ascii="Times New Roman" w:eastAsia="楷体" w:hAnsi="Times New Roman" w:cs="Times New Roman" w:hint="eastAsia"/>
        </w:rPr>
        <w:t>模型结构失效，</w:t>
      </w:r>
      <w:r>
        <w:rPr>
          <w:rFonts w:ascii="Times New Roman" w:eastAsia="楷体" w:hAnsi="Times New Roman" w:cs="Times New Roman"/>
        </w:rPr>
        <w:t>终止加载，本级加载成绩为</w:t>
      </w:r>
      <w:r>
        <w:rPr>
          <w:rFonts w:ascii="Times New Roman" w:eastAsia="楷体" w:hAnsi="Times New Roman" w:cs="Times New Roman" w:hint="eastAsia"/>
        </w:rPr>
        <w:t>0</w:t>
      </w:r>
      <w:r>
        <w:rPr>
          <w:rFonts w:ascii="Times New Roman" w:eastAsia="楷体" w:hAnsi="Times New Roman" w:cs="Times New Roman" w:hint="eastAsia"/>
        </w:rPr>
        <w:t>分</w:t>
      </w:r>
      <w:r>
        <w:rPr>
          <w:rFonts w:ascii="Times New Roman" w:eastAsia="楷体" w:hAnsi="Times New Roman" w:cs="Times New Roman"/>
        </w:rPr>
        <w:t>：</w:t>
      </w:r>
    </w:p>
    <w:p w14:paraId="70D32E0A" w14:textId="77777777" w:rsidR="00A84A4C" w:rsidRDefault="00000000">
      <w:pPr>
        <w:numPr>
          <w:ilvl w:val="2"/>
          <w:numId w:val="2"/>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加载中非设备原因导致位移计不能有效读数</w:t>
      </w:r>
      <w:r>
        <w:rPr>
          <w:rFonts w:ascii="Times New Roman" w:eastAsia="楷体" w:hAnsi="Times New Roman" w:cs="Times New Roman" w:hint="eastAsia"/>
        </w:rPr>
        <w:t>，包括</w:t>
      </w:r>
      <w:r>
        <w:rPr>
          <w:rFonts w:ascii="Times New Roman" w:eastAsia="楷体" w:hAnsi="Times New Roman" w:cs="Times New Roman"/>
        </w:rPr>
        <w:t>顶部砝码盘底部高</w:t>
      </w:r>
      <w:r>
        <w:rPr>
          <w:rFonts w:ascii="Times New Roman" w:eastAsia="楷体" w:hAnsi="Times New Roman" w:cs="Times New Roman" w:hint="eastAsia"/>
        </w:rPr>
        <w:t>度</w:t>
      </w:r>
      <w:r>
        <w:rPr>
          <w:rFonts w:ascii="Times New Roman" w:eastAsia="楷体" w:hAnsi="Times New Roman" w:cs="Times New Roman"/>
        </w:rPr>
        <w:t>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hint="eastAsia"/>
        </w:rPr>
        <w:t>相差较大</w:t>
      </w:r>
      <w:r>
        <w:rPr>
          <w:rFonts w:ascii="Times New Roman" w:eastAsia="楷体" w:hAnsi="Times New Roman" w:cs="Times New Roman"/>
        </w:rPr>
        <w:t>；</w:t>
      </w:r>
    </w:p>
    <w:p w14:paraId="709A2C3E" w14:textId="77777777" w:rsidR="00A84A4C" w:rsidRDefault="00000000">
      <w:pPr>
        <w:numPr>
          <w:ilvl w:val="2"/>
          <w:numId w:val="2"/>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加载过程中，模型超过各级加载要求的限定指标，包括</w:t>
      </w:r>
      <w:r>
        <w:rPr>
          <w:rFonts w:ascii="Times New Roman" w:eastAsia="楷体" w:hAnsi="Times New Roman" w:cs="Times New Roman" w:hint="eastAsia"/>
        </w:rPr>
        <w:t>模型</w:t>
      </w:r>
      <w:r>
        <w:rPr>
          <w:rFonts w:ascii="Times New Roman" w:eastAsia="楷体" w:hAnsi="Times New Roman" w:cs="Times New Roman"/>
        </w:rPr>
        <w:t>整体倾覆垮塌</w:t>
      </w:r>
      <w:r>
        <w:rPr>
          <w:rFonts w:ascii="Times New Roman" w:eastAsia="楷体" w:hAnsi="Times New Roman" w:cs="Times New Roman" w:hint="eastAsia"/>
        </w:rPr>
        <w:t>、保护绳拉直</w:t>
      </w:r>
      <w:r>
        <w:rPr>
          <w:rFonts w:ascii="Times New Roman" w:eastAsia="楷体" w:hAnsi="Times New Roman" w:cs="Times New Roman"/>
        </w:rPr>
        <w:t>及</w:t>
      </w:r>
      <w:r>
        <w:rPr>
          <w:rFonts w:ascii="Times New Roman" w:eastAsia="楷体" w:hAnsi="Times New Roman" w:cs="Times New Roman" w:hint="eastAsia"/>
        </w:rPr>
        <w:t>模型</w:t>
      </w:r>
      <w:r>
        <w:rPr>
          <w:rFonts w:ascii="Times New Roman" w:eastAsia="楷体" w:hAnsi="Times New Roman" w:cs="Times New Roman"/>
        </w:rPr>
        <w:t>触碰加载框；</w:t>
      </w:r>
    </w:p>
    <w:p w14:paraId="65A0350A" w14:textId="77777777" w:rsidR="00A84A4C" w:rsidRDefault="00000000">
      <w:pPr>
        <w:numPr>
          <w:ilvl w:val="2"/>
          <w:numId w:val="2"/>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加载过程中，顶部砝码盘掉落；</w:t>
      </w:r>
    </w:p>
    <w:p w14:paraId="4E1FBDD6" w14:textId="77777777" w:rsidR="00A84A4C" w:rsidRDefault="00000000">
      <w:pPr>
        <w:numPr>
          <w:ilvl w:val="2"/>
          <w:numId w:val="2"/>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参赛队员在</w:t>
      </w:r>
      <w:r>
        <w:rPr>
          <w:rFonts w:ascii="Times New Roman" w:eastAsia="楷体" w:hAnsi="Times New Roman" w:cs="Times New Roman" w:hint="eastAsia"/>
        </w:rPr>
        <w:t>除</w:t>
      </w:r>
      <w:r>
        <w:rPr>
          <w:rFonts w:ascii="Times New Roman" w:eastAsia="楷体" w:hAnsi="Times New Roman" w:cs="Times New Roman"/>
        </w:rPr>
        <w:t>第三级加载前模型调整</w:t>
      </w:r>
      <w:r>
        <w:rPr>
          <w:rFonts w:ascii="Times New Roman" w:eastAsia="楷体" w:hAnsi="Times New Roman" w:cs="Times New Roman" w:hint="eastAsia"/>
        </w:rPr>
        <w:t>以外时间</w:t>
      </w:r>
      <w:r>
        <w:rPr>
          <w:rFonts w:ascii="Times New Roman" w:eastAsia="楷体" w:hAnsi="Times New Roman" w:cs="Times New Roman"/>
        </w:rPr>
        <w:t>触碰模型；</w:t>
      </w:r>
    </w:p>
    <w:p w14:paraId="32C2A897" w14:textId="77777777" w:rsidR="00A84A4C" w:rsidRDefault="00000000">
      <w:pPr>
        <w:numPr>
          <w:ilvl w:val="2"/>
          <w:numId w:val="2"/>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专家组认定不能继续加载的其它情况。</w:t>
      </w:r>
    </w:p>
    <w:p w14:paraId="70CA6745"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lastRenderedPageBreak/>
        <w:t>9.3</w:t>
      </w:r>
      <w:r>
        <w:rPr>
          <w:rFonts w:ascii="Times New Roman" w:eastAsia="楷体" w:hAnsi="Times New Roman" w:cs="Times New Roman"/>
          <w:b/>
        </w:rPr>
        <w:t>加速度</w:t>
      </w:r>
      <w:r>
        <w:rPr>
          <w:rFonts w:ascii="Times New Roman" w:eastAsia="楷体" w:hAnsi="Times New Roman" w:cs="Times New Roman" w:hint="eastAsia"/>
          <w:b/>
        </w:rPr>
        <w:t>采样方法</w:t>
      </w:r>
    </w:p>
    <w:p w14:paraId="1FE8A7AC" w14:textId="77777777" w:rsidR="00A84A4C"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为避免结构振动过程中产生的高频加速度分量对结果干扰，本次竞赛将实测加速度经</w:t>
      </w:r>
      <w:r>
        <w:rPr>
          <w:rFonts w:ascii="Times New Roman" w:eastAsia="楷体" w:hAnsi="Times New Roman" w:cs="Times New Roman" w:hint="eastAsia"/>
        </w:rPr>
        <w:t>2</w:t>
      </w:r>
      <w:r>
        <w:rPr>
          <w:rFonts w:ascii="Times New Roman" w:eastAsia="楷体" w:hAnsi="Times New Roman" w:cs="Times New Roman"/>
        </w:rPr>
        <w:t>0</w:t>
      </w:r>
      <w:r>
        <w:rPr>
          <w:rFonts w:ascii="Times New Roman" w:eastAsia="楷体" w:hAnsi="Times New Roman" w:cs="Times New Roman" w:hint="eastAsia"/>
        </w:rPr>
        <w:t>Hz</w:t>
      </w:r>
      <w:r>
        <w:rPr>
          <w:rFonts w:ascii="Times New Roman" w:eastAsia="楷体" w:hAnsi="Times New Roman" w:cs="Times New Roman" w:hint="eastAsia"/>
        </w:rPr>
        <w:t>低通滤波处理后输出，采样频率为</w:t>
      </w:r>
      <w:r>
        <w:rPr>
          <w:rFonts w:ascii="Times New Roman" w:eastAsia="楷体" w:hAnsi="Times New Roman" w:cs="Times New Roman" w:hint="eastAsia"/>
        </w:rPr>
        <w:t>1000Hz</w:t>
      </w:r>
      <w:r>
        <w:rPr>
          <w:rFonts w:ascii="Times New Roman" w:eastAsia="楷体" w:hAnsi="Times New Roman" w:cs="Times New Roman" w:hint="eastAsia"/>
        </w:rPr>
        <w:t>，具体操作方法见设备使用说明。</w:t>
      </w:r>
    </w:p>
    <w:p w14:paraId="3B7530A6"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9.4</w:t>
      </w:r>
      <w:r>
        <w:rPr>
          <w:rFonts w:ascii="Times New Roman" w:eastAsia="楷体" w:hAnsi="Times New Roman" w:cs="Times New Roman" w:hint="eastAsia"/>
          <w:b/>
        </w:rPr>
        <w:t>评分</w:t>
      </w:r>
      <w:r>
        <w:rPr>
          <w:rFonts w:ascii="Times New Roman" w:eastAsia="楷体" w:hAnsi="Times New Roman" w:cs="Times New Roman"/>
          <w:b/>
        </w:rPr>
        <w:t>细则</w:t>
      </w:r>
    </w:p>
    <w:p w14:paraId="19D82EDE" w14:textId="77777777" w:rsidR="00A84A4C" w:rsidRDefault="00000000">
      <w:pPr>
        <w:numPr>
          <w:ilvl w:val="2"/>
          <w:numId w:val="3"/>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加载表现分（</w:t>
      </w: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hint="eastAsia"/>
          <w:szCs w:val="24"/>
        </w:rPr>
        <w:t>100</w:t>
      </w:r>
      <w:r>
        <w:rPr>
          <w:rFonts w:ascii="Times New Roman" w:eastAsia="楷体" w:hAnsi="Times New Roman" w:cs="Times New Roman"/>
          <w:szCs w:val="24"/>
        </w:rPr>
        <w:t>分</w:t>
      </w:r>
    </w:p>
    <w:p w14:paraId="158AB6F8" w14:textId="77777777" w:rsidR="00A84A4C" w:rsidRDefault="00000000">
      <w:pPr>
        <w:numPr>
          <w:ilvl w:val="0"/>
          <w:numId w:val="4"/>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第一级加载总分</w:t>
      </w:r>
      <w:r>
        <w:rPr>
          <w:rFonts w:ascii="Times New Roman" w:eastAsia="楷体" w:hAnsi="Times New Roman" w:cs="Times New Roman" w:hint="eastAsia"/>
          <w:szCs w:val="24"/>
        </w:rPr>
        <w:t>50</w:t>
      </w:r>
      <w:r>
        <w:rPr>
          <w:rFonts w:ascii="Times New Roman" w:eastAsia="楷体" w:hAnsi="Times New Roman" w:cs="Times New Roman"/>
          <w:szCs w:val="24"/>
        </w:rPr>
        <w:t>分。第一级荷载加载成功，计算第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1,</w:t>
      </w:r>
      <w:r>
        <w:rPr>
          <w:rFonts w:ascii="Times New Roman" w:eastAsia="楷体" w:hAnsi="Times New Roman" w:cs="Times New Roman" w:hint="eastAsia"/>
          <w:szCs w:val="24"/>
          <w:vertAlign w:val="subscript"/>
        </w:rPr>
        <w:t>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w:t>
      </w:r>
      <w:r>
        <w:rPr>
          <w:rFonts w:ascii="Times New Roman" w:eastAsia="楷体" w:hAnsi="Times New Roman" w:cs="Times New Roman" w:hint="eastAsia"/>
          <w:szCs w:val="24"/>
          <w:vertAlign w:val="subscript"/>
        </w:rPr>
        <w:t>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1,min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队的模型质量</w:t>
      </w:r>
      <w:r>
        <w:rPr>
          <w:rFonts w:ascii="Times New Roman" w:eastAsia="楷体" w:hAnsi="Times New Roman" w:cs="Times New Roman" w:hint="eastAsia"/>
          <w:szCs w:val="24"/>
        </w:rPr>
        <w:t>，</w:t>
      </w:r>
      <w:r>
        <w:rPr>
          <w:rFonts w:ascii="Times New Roman" w:eastAsia="楷体" w:hAnsi="Times New Roman" w:cs="Times New Roman"/>
          <w:szCs w:val="24"/>
        </w:rPr>
        <w:t>各队加速度为</w:t>
      </w:r>
      <w:r>
        <w:rPr>
          <w:rFonts w:ascii="Times New Roman" w:eastAsia="楷体" w:hAnsi="Times New Roman" w:cs="Times New Roman"/>
          <w:i/>
          <w:iCs/>
          <w:szCs w:val="24"/>
        </w:rPr>
        <w:t>a</w:t>
      </w:r>
      <w:r>
        <w:rPr>
          <w:rFonts w:ascii="Times New Roman" w:eastAsia="楷体" w:hAnsi="Times New Roman" w:cs="Times New Roman"/>
          <w:szCs w:val="24"/>
          <w:vertAlign w:val="subscript"/>
        </w:rPr>
        <w:t>i</w:t>
      </w:r>
      <w:r>
        <w:rPr>
          <w:rFonts w:ascii="Times New Roman" w:eastAsia="楷体" w:hAnsi="Times New Roman" w:cs="Times New Roman"/>
          <w:szCs w:val="24"/>
        </w:rPr>
        <w:t>（单位：</w:t>
      </w:r>
      <w:r>
        <w:rPr>
          <w:rFonts w:ascii="Times New Roman" w:eastAsia="楷体" w:hAnsi="Times New Roman" w:cs="Times New Roman"/>
          <w:szCs w:val="24"/>
        </w:rPr>
        <w:t>m/s</w:t>
      </w:r>
      <w:r>
        <w:rPr>
          <w:rFonts w:ascii="Times New Roman" w:eastAsia="楷体" w:hAnsi="Times New Roman" w:cs="Times New Roman"/>
          <w:szCs w:val="24"/>
          <w:vertAlign w:val="superscript"/>
        </w:rPr>
        <w:t>2</w:t>
      </w:r>
      <w:r>
        <w:rPr>
          <w:rFonts w:ascii="Times New Roman" w:eastAsia="楷体" w:hAnsi="Times New Roman" w:cs="Times New Roman"/>
          <w:szCs w:val="24"/>
        </w:rPr>
        <w:t>）。</w:t>
      </w:r>
    </w:p>
    <w:p w14:paraId="059A040A" w14:textId="77777777" w:rsidR="00A84A4C" w:rsidRDefault="0000000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第一级加载得分根据加速度大小分区得分：</w:t>
      </w:r>
    </w:p>
    <w:p w14:paraId="0099B31A" w14:textId="77777777" w:rsidR="00A84A4C" w:rsidRDefault="00000000">
      <w:pPr>
        <w:spacing w:line="360" w:lineRule="auto"/>
        <w:ind w:firstLineChars="1000" w:firstLine="2400"/>
        <w:jc w:val="left"/>
        <w:rPr>
          <w:rFonts w:ascii="Times New Roman" w:eastAsia="楷体" w:hAnsi="Times New Roman" w:cs="Times New Roman"/>
          <w:szCs w:val="24"/>
        </w:rPr>
      </w:pPr>
      <m:oMath>
        <m:r>
          <w:rPr>
            <w:rFonts w:ascii="Cambria Math" w:eastAsia="楷体" w:hAnsi="Cambria Math" w:cs="Times New Roman"/>
            <w:szCs w:val="24"/>
          </w:rPr>
          <m:t xml:space="preserve">              50</m:t>
        </m:r>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m:t>
            </m:r>
            <m:r>
              <m:rPr>
                <m:sty m:val="p"/>
              </m:rPr>
              <w:rPr>
                <w:rFonts w:ascii="Cambria Math" w:eastAsia="楷体" w:hAnsi="Cambria Math" w:cs="Times New Roman"/>
                <w:szCs w:val="24"/>
                <w:vertAlign w:val="subscript"/>
              </w:rPr>
              <m:t>i</m:t>
            </m:r>
          </m:sub>
        </m:sSub>
        <m:r>
          <m:rPr>
            <m:sty m:val="p"/>
          </m:rPr>
          <w:rPr>
            <w:rFonts w:ascii="Cambria Math" w:eastAsia="楷体" w:hAnsi="Cambria Math" w:cs="Times New Roman"/>
            <w:szCs w:val="24"/>
          </w:rPr>
          <m:t>，</m:t>
        </m:r>
        <m:r>
          <w:rPr>
            <w:rFonts w:ascii="Cambria Math" w:eastAsia="楷体" w:hAnsi="Cambria Math" w:cs="Times New Roman"/>
            <w:szCs w:val="24"/>
          </w:rPr>
          <m:t>0&lt;</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m:rPr>
                <m:sty m:val="p"/>
              </m:rPr>
              <w:rPr>
                <w:rFonts w:ascii="Cambria Math" w:eastAsia="楷体" w:hAnsi="Cambria Math" w:cs="Times New Roman"/>
                <w:szCs w:val="24"/>
              </w:rPr>
              <m:t>i</m:t>
            </m:r>
          </m:sub>
        </m:sSub>
        <m:r>
          <m:rPr>
            <m:sty m:val="p"/>
          </m:rPr>
          <w:rPr>
            <w:rFonts w:ascii="Cambria Math" w:eastAsia="楷体" w:hAnsi="Cambria Math" w:cs="Times New Roman"/>
            <w:szCs w:val="24"/>
          </w:rPr>
          <m:t>≤6</m:t>
        </m:r>
      </m:oMath>
      <w:r>
        <w:rPr>
          <w:rFonts w:ascii="Times New Roman" w:eastAsia="楷体" w:hAnsi="Times New Roman" w:cs="Times New Roman"/>
        </w:rPr>
        <w:t xml:space="preserve"> </w:t>
      </w:r>
    </w:p>
    <w:p w14:paraId="23789A27" w14:textId="77777777" w:rsidR="00A84A4C" w:rsidRDefault="00000000">
      <w:pPr>
        <w:spacing w:line="360" w:lineRule="auto"/>
        <w:ind w:firstLineChars="590" w:firstLine="1416"/>
        <w:rPr>
          <w:rFonts w:ascii="Times New Roman" w:eastAsia="楷体" w:hAnsi="Times New Roman" w:cs="Times New Roman"/>
          <w:szCs w:val="24"/>
          <w:vertAlign w:val="superscript"/>
        </w:rPr>
      </w:pPr>
      <w:r>
        <w:rPr>
          <w:rFonts w:ascii="Times New Roman" w:eastAsia="楷体" w:hAnsi="Times New Roman" w:cs="Times New Roman"/>
          <w:noProof/>
        </w:rPr>
        <mc:AlternateContent>
          <mc:Choice Requires="wps">
            <w:drawing>
              <wp:anchor distT="0" distB="0" distL="0" distR="0" simplePos="0" relativeHeight="251659264" behindDoc="0" locked="0" layoutInCell="1" allowOverlap="1" wp14:anchorId="1886BDA8" wp14:editId="04269CB1">
                <wp:simplePos x="0" y="0"/>
                <wp:positionH relativeFrom="column">
                  <wp:posOffset>1665605</wp:posOffset>
                </wp:positionH>
                <wp:positionV relativeFrom="paragraph">
                  <wp:posOffset>-216535</wp:posOffset>
                </wp:positionV>
                <wp:extent cx="152400" cy="895350"/>
                <wp:effectExtent l="50800" t="6350" r="6350" b="12700"/>
                <wp:wrapNone/>
                <wp:docPr id="8" name="左大括号 19"/>
                <wp:cNvGraphicFramePr/>
                <a:graphic xmlns:a="http://schemas.openxmlformats.org/drawingml/2006/main">
                  <a:graphicData uri="http://schemas.microsoft.com/office/word/2010/wordprocessingShape">
                    <wps:wsp>
                      <wps:cNvSpPr/>
                      <wps:spPr>
                        <a:xfrm>
                          <a:off x="0" y="0"/>
                          <a:ext cx="152400" cy="895350"/>
                        </a:xfrm>
                        <a:prstGeom prst="leftBrace">
                          <a:avLst/>
                        </a:prstGeom>
                        <a:ln w="12700" cap="flat" cmpd="sng">
                          <a:solidFill>
                            <a:srgbClr val="000000"/>
                          </a:solidFill>
                          <a:prstDash val="solid"/>
                          <a:miter/>
                        </a:ln>
                      </wps:spPr>
                      <wps:bodyPr/>
                    </wps:wsp>
                  </a:graphicData>
                </a:graphic>
              </wp:anchor>
            </w:drawing>
          </mc:Choice>
          <mc:Fallback xmlns:wpsCustomData="http://www.wps.cn/officeDocument/2013/wpsCustomData">
            <w:pict>
              <v:shape id="左大括号 19" o:spid="_x0000_s1026" o:spt="87" type="#_x0000_t87" style="position:absolute;left:0pt;margin-left:131.15pt;margin-top:-17.05pt;height:70.5pt;width:12pt;z-index:251659264;mso-width-relative:page;mso-height-relative:page;" filled="f" stroked="t" coordsize="21600,21600" o:gfxdata="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qVux9cAAAALAQAADwAAAAAAAAABACAA&#10;AAAiAAAAZHJzL2Rvd25yZXYueG1sUEsBAhQAFAAAAAgAh07iQFeE4qnVAQAAlgMAAA4AAAAAAAAA&#10;AQAgAAAAJgEAAGRycy9lMm9Eb2MueG1sUEsFBgAAAAAGAAYAWQEAAG0FAAAAAA==&#10;" adj="306,10800">
                <v:fill on="f" focussize="0,0"/>
                <v:stroke weight="1pt" color="#000000" joinstyle="miter"/>
                <v:imagedata o:title=""/>
                <o:lock v:ext="edit" aspectratio="f"/>
              </v:shape>
            </w:pict>
          </mc:Fallback>
        </mc:AlternateContent>
      </w:r>
      <w:r>
        <w:rPr>
          <w:rFonts w:ascii="Times New Roman" w:eastAsia="楷体" w:hAnsi="Times New Roman" w:cs="Times New Roman"/>
          <w:szCs w:val="24"/>
        </w:rPr>
        <w:t xml:space="preserve">     </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 xml:space="preserve">= </w:t>
      </w:r>
      <m:oMath>
        <m:r>
          <m:rPr>
            <m:sty m:val="p"/>
          </m:rPr>
          <w:rPr>
            <w:rFonts w:ascii="Cambria Math" w:eastAsia="楷体" w:hAnsi="Cambria Math" w:cs="Times New Roman"/>
            <w:szCs w:val="24"/>
          </w:rPr>
          <m:t xml:space="preserve">         </m:t>
        </m:r>
        <m:d>
          <m:dPr>
            <m:begChr m:val="（"/>
            <m:endChr m:val="）"/>
            <m:ctrlPr>
              <w:rPr>
                <w:rFonts w:ascii="Cambria Math" w:eastAsia="楷体" w:hAnsi="Cambria Math" w:cs="Times New Roman"/>
                <w:szCs w:val="24"/>
              </w:rPr>
            </m:ctrlPr>
          </m:dPr>
          <m:e>
            <m:r>
              <m:rPr>
                <m:sty m:val="p"/>
              </m:rPr>
              <w:rPr>
                <w:rFonts w:ascii="Cambria Math" w:eastAsia="楷体" w:hAnsi="Cambria Math" w:cs="Times New Roman"/>
                <w:szCs w:val="24"/>
              </w:rPr>
              <m:t>110-10</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m:rPr>
                    <m:sty m:val="p"/>
                  </m:rPr>
                  <w:rPr>
                    <w:rFonts w:ascii="Cambria Math" w:eastAsia="楷体" w:hAnsi="Cambria Math" w:cs="Times New Roman"/>
                    <w:szCs w:val="24"/>
                  </w:rPr>
                  <m:t>i</m:t>
                </m:r>
              </m:sub>
            </m:sSub>
          </m:e>
        </m:d>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m:t>
            </m:r>
            <m:r>
              <m:rPr>
                <m:sty m:val="p"/>
              </m:rPr>
              <w:rPr>
                <w:rFonts w:ascii="Cambria Math" w:eastAsia="楷体" w:hAnsi="Cambria Math" w:cs="Times New Roman"/>
                <w:szCs w:val="24"/>
                <w:vertAlign w:val="subscript"/>
              </w:rPr>
              <m:t>i</m:t>
            </m:r>
          </m:sub>
        </m:sSub>
        <m:r>
          <m:rPr>
            <m:sty m:val="p"/>
          </m:rPr>
          <w:rPr>
            <w:rFonts w:ascii="Cambria Math" w:eastAsia="楷体" w:hAnsi="Cambria Math" w:cs="Times New Roman"/>
            <w:szCs w:val="24"/>
          </w:rPr>
          <m:t>，</m:t>
        </m:r>
        <m:r>
          <w:rPr>
            <w:rFonts w:ascii="Cambria Math" w:eastAsia="楷体" w:hAnsi="Cambria Math" w:cs="Times New Roman"/>
            <w:szCs w:val="24"/>
          </w:rPr>
          <m:t xml:space="preserve">  6&lt;</m:t>
        </m:r>
        <m:sSub>
          <m:sSubPr>
            <m:ctrlPr>
              <w:rPr>
                <w:rFonts w:ascii="Cambria Math" w:eastAsia="楷体" w:hAnsi="Cambria Math" w:cs="Times New Roman"/>
                <w:szCs w:val="24"/>
              </w:rPr>
            </m:ctrlPr>
          </m:sSubPr>
          <m:e>
            <m:r>
              <w:rPr>
                <w:rFonts w:ascii="Cambria Math" w:eastAsia="楷体" w:hAnsi="Cambria Math" w:cs="Times New Roman"/>
                <w:szCs w:val="24"/>
              </w:rPr>
              <m:t>a</m:t>
            </m:r>
          </m:e>
          <m:sub>
            <m:r>
              <m:rPr>
                <m:sty m:val="p"/>
              </m:rPr>
              <w:rPr>
                <w:rFonts w:ascii="Cambria Math" w:eastAsia="楷体" w:hAnsi="Cambria Math" w:cs="Times New Roman"/>
                <w:szCs w:val="24"/>
              </w:rPr>
              <m:t>i</m:t>
            </m:r>
          </m:sub>
        </m:sSub>
        <m:r>
          <m:rPr>
            <m:sty m:val="p"/>
          </m:rPr>
          <w:rPr>
            <w:rFonts w:ascii="Cambria Math" w:eastAsia="楷体" w:hAnsi="Cambria Math" w:cs="Times New Roman"/>
            <w:szCs w:val="24"/>
          </w:rPr>
          <m:t>≤1</m:t>
        </m:r>
      </m:oMath>
      <w:r>
        <w:rPr>
          <w:rFonts w:ascii="Times New Roman" w:eastAsia="楷体" w:hAnsi="Times New Roman" w:cs="Times New Roman"/>
          <w:szCs w:val="24"/>
        </w:rPr>
        <w:t xml:space="preserve">1 </w:t>
      </w:r>
    </w:p>
    <w:p w14:paraId="64BE9C5D" w14:textId="77777777" w:rsidR="00A84A4C" w:rsidRDefault="00000000">
      <w:pPr>
        <w:spacing w:line="360" w:lineRule="auto"/>
        <w:ind w:firstLineChars="1500" w:firstLine="3600"/>
        <w:rPr>
          <w:rFonts w:ascii="Times New Roman" w:eastAsia="楷体" w:hAnsi="Times New Roman" w:cs="Times New Roman"/>
          <w:szCs w:val="24"/>
          <w:vertAlign w:val="superscript"/>
        </w:rPr>
      </w:pPr>
      <m:oMath>
        <m:r>
          <m:rPr>
            <m:sty m:val="p"/>
          </m:rPr>
          <w:rPr>
            <w:rFonts w:ascii="Cambria Math" w:eastAsia="楷体" w:hAnsi="Cambria Math" w:cs="Times New Roman"/>
            <w:szCs w:val="24"/>
          </w:rPr>
          <m:t>0</m:t>
        </m:r>
        <m:r>
          <m:rPr>
            <m:sty m:val="p"/>
          </m:rPr>
          <w:rPr>
            <w:rFonts w:ascii="Cambria Math" w:eastAsia="楷体" w:hAnsi="Cambria Math" w:cs="Times New Roman"/>
            <w:szCs w:val="24"/>
          </w:rPr>
          <m:t>，</m:t>
        </m:r>
        <m:r>
          <m:rPr>
            <m:sty m:val="p"/>
          </m:rPr>
          <w:rPr>
            <w:rFonts w:ascii="Cambria Math" w:eastAsia="楷体" w:hAnsi="Cambria Math" w:cs="Times New Roman"/>
            <w:szCs w:val="24"/>
          </w:rPr>
          <m:t xml:space="preserve">  </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m:rPr>
                <m:sty m:val="p"/>
              </m:rPr>
              <w:rPr>
                <w:rFonts w:ascii="Cambria Math" w:eastAsia="楷体" w:hAnsi="Cambria Math" w:cs="Times New Roman"/>
                <w:szCs w:val="24"/>
              </w:rPr>
              <m:t>i</m:t>
            </m:r>
          </m:sub>
        </m:sSub>
        <m:r>
          <m:rPr>
            <m:sty m:val="p"/>
          </m:rPr>
          <w:rPr>
            <w:rFonts w:ascii="Cambria Math" w:eastAsia="楷体" w:hAnsi="Cambria Math" w:cs="Times New Roman"/>
            <w:szCs w:val="24"/>
          </w:rPr>
          <m:t>&gt;11</m:t>
        </m:r>
      </m:oMath>
      <w:r>
        <w:rPr>
          <w:rFonts w:ascii="Times New Roman" w:eastAsia="楷体" w:hAnsi="Times New Roman" w:cs="Times New Roman"/>
          <w:szCs w:val="24"/>
          <w:vertAlign w:val="superscript"/>
        </w:rPr>
        <w:t xml:space="preserve"> </w:t>
      </w:r>
    </w:p>
    <w:p w14:paraId="7F818B16" w14:textId="77777777" w:rsidR="00A84A4C" w:rsidRDefault="0000000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本级加载得分为</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w:t>
      </w:r>
    </w:p>
    <w:p w14:paraId="27C1D7B6" w14:textId="77777777" w:rsidR="00A84A4C" w:rsidRDefault="00000000">
      <w:pPr>
        <w:numPr>
          <w:ilvl w:val="0"/>
          <w:numId w:val="4"/>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第二级加载总分</w:t>
      </w:r>
      <w:r>
        <w:rPr>
          <w:rFonts w:ascii="Times New Roman" w:eastAsia="楷体" w:hAnsi="Times New Roman" w:cs="Times New Roman"/>
          <w:szCs w:val="24"/>
        </w:rPr>
        <w:t>20</w:t>
      </w:r>
      <w:r>
        <w:rPr>
          <w:rFonts w:ascii="Times New Roman" w:eastAsia="楷体" w:hAnsi="Times New Roman" w:cs="Times New Roman"/>
          <w:szCs w:val="24"/>
        </w:rPr>
        <w:t>分。第二级荷载加载成功，计算第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队模型质量。</w:t>
      </w:r>
    </w:p>
    <w:p w14:paraId="527D1963" w14:textId="77777777" w:rsidR="00A84A4C"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本级加载得分，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2i</w:t>
      </w:r>
      <w:r>
        <w:rPr>
          <w:rFonts w:ascii="Times New Roman" w:eastAsia="楷体" w:hAnsi="Times New Roman" w:cs="Times New Roman"/>
          <w:szCs w:val="24"/>
        </w:rPr>
        <w:t>=20</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p>
    <w:p w14:paraId="2443D49E" w14:textId="77777777" w:rsidR="00A84A4C" w:rsidRDefault="00000000">
      <w:pPr>
        <w:numPr>
          <w:ilvl w:val="0"/>
          <w:numId w:val="4"/>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第三级加载总分</w:t>
      </w:r>
      <w:r>
        <w:rPr>
          <w:rFonts w:ascii="Times New Roman" w:eastAsia="楷体" w:hAnsi="Times New Roman" w:cs="Times New Roman" w:hint="eastAsia"/>
          <w:szCs w:val="24"/>
        </w:rPr>
        <w:t>3</w:t>
      </w:r>
      <w:r>
        <w:rPr>
          <w:rFonts w:ascii="Times New Roman" w:eastAsia="楷体" w:hAnsi="Times New Roman" w:cs="Times New Roman"/>
          <w:szCs w:val="24"/>
        </w:rPr>
        <w:t>0</w:t>
      </w:r>
      <w:r>
        <w:rPr>
          <w:rFonts w:ascii="Times New Roman" w:eastAsia="楷体" w:hAnsi="Times New Roman" w:cs="Times New Roman"/>
          <w:szCs w:val="24"/>
        </w:rPr>
        <w:t>分。第三级荷载加载成功，计算第</w:t>
      </w:r>
      <w:r>
        <w:rPr>
          <w:rFonts w:ascii="Times New Roman" w:eastAsia="楷体" w:hAnsi="Times New Roman" w:cs="Times New Roman"/>
          <w:i/>
          <w:iCs/>
          <w:szCs w:val="24"/>
        </w:rPr>
        <w:t>i</w:t>
      </w:r>
      <w:r>
        <w:rPr>
          <w:rFonts w:ascii="Times New Roman" w:eastAsia="楷体" w:hAnsi="Times New Roman" w:cs="Times New Roman"/>
          <w:szCs w:val="24"/>
        </w:rPr>
        <w:t>队模型的得分系数：</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0i</m:t>
            </m:r>
          </m:sub>
        </m:sSub>
      </m:oMath>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r>
        <w:rPr>
          <w:rFonts w:ascii="Times New Roman" w:eastAsia="楷体" w:hAnsi="Times New Roman" w:cs="Times New Roman"/>
          <w:i/>
          <w:iCs/>
          <w:szCs w:val="24"/>
        </w:rPr>
        <w:t>i</w:t>
      </w:r>
      <w:r>
        <w:rPr>
          <w:rFonts w:ascii="Times New Roman" w:eastAsia="楷体" w:hAnsi="Times New Roman" w:cs="Times New Roman"/>
          <w:szCs w:val="24"/>
        </w:rPr>
        <w:t>队模型总质量，</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oMath>
      <w:r>
        <w:rPr>
          <w:rFonts w:ascii="Times New Roman" w:eastAsia="楷体" w:hAnsi="Times New Roman" w:cs="Times New Roman"/>
          <w:szCs w:val="24"/>
        </w:rPr>
        <w:t>该队</w:t>
      </w:r>
      <w:r>
        <w:rPr>
          <w:rFonts w:ascii="Times New Roman" w:eastAsia="楷体" w:hAnsi="Times New Roman" w:cs="Times New Roman" w:hint="eastAsia"/>
          <w:szCs w:val="24"/>
        </w:rPr>
        <w:t>第</w:t>
      </w:r>
      <w:r>
        <w:rPr>
          <w:rFonts w:ascii="Times New Roman" w:eastAsia="楷体" w:hAnsi="Times New Roman" w:cs="Times New Roman"/>
          <w:szCs w:val="24"/>
        </w:rPr>
        <w:t>三级加载时</w:t>
      </w:r>
      <w:r>
        <w:rPr>
          <w:rFonts w:ascii="Times New Roman" w:eastAsia="楷体" w:hAnsi="Times New Roman" w:cs="Times New Roman" w:hint="eastAsia"/>
          <w:szCs w:val="24"/>
        </w:rPr>
        <w:t>模型</w:t>
      </w:r>
      <w:r>
        <w:rPr>
          <w:rFonts w:ascii="Times New Roman" w:eastAsia="楷体" w:hAnsi="Times New Roman" w:cs="Times New Roman"/>
          <w:szCs w:val="24"/>
        </w:rPr>
        <w:t>顶部</w:t>
      </w:r>
      <w:r>
        <w:rPr>
          <w:rFonts w:ascii="Times New Roman" w:eastAsia="楷体" w:hAnsi="Times New Roman" w:cs="Times New Roman" w:hint="eastAsia"/>
          <w:szCs w:val="24"/>
        </w:rPr>
        <w:t>质量系统总</w:t>
      </w:r>
      <w:r>
        <w:rPr>
          <w:rFonts w:ascii="Times New Roman" w:eastAsia="楷体" w:hAnsi="Times New Roman" w:cs="Times New Roman"/>
          <w:szCs w:val="24"/>
        </w:rPr>
        <w:t>质量。</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最高的参赛队记为</w:t>
      </w:r>
      <w:r>
        <w:rPr>
          <w:rFonts w:ascii="Times New Roman" w:eastAsia="楷体" w:hAnsi="Times New Roman" w:cs="Times New Roman"/>
          <w:i/>
          <w:iCs/>
          <w:szCs w:val="24"/>
        </w:rPr>
        <w:t>k</w:t>
      </w:r>
      <w:r>
        <w:rPr>
          <w:rFonts w:ascii="Times New Roman" w:eastAsia="楷体" w:hAnsi="Times New Roman" w:cs="Times New Roman"/>
          <w:szCs w:val="24"/>
          <w:vertAlign w:val="subscript"/>
        </w:rPr>
        <w:t>3,max</w:t>
      </w:r>
      <w:r>
        <w:rPr>
          <w:rFonts w:ascii="Times New Roman" w:eastAsia="楷体" w:hAnsi="Times New Roman" w:cs="Times New Roman"/>
          <w:szCs w:val="24"/>
        </w:rPr>
        <w:t>。</w:t>
      </w:r>
    </w:p>
    <w:p w14:paraId="59406938" w14:textId="77777777" w:rsidR="00A84A4C" w:rsidRDefault="00000000">
      <w:pPr>
        <w:spacing w:line="360" w:lineRule="auto"/>
        <w:ind w:left="567"/>
        <w:rPr>
          <w:rFonts w:ascii="Times New Roman" w:eastAsia="楷体" w:hAnsi="Times New Roman" w:cs="Times New Roman"/>
          <w:szCs w:val="24"/>
        </w:rPr>
      </w:pPr>
      <w:r>
        <w:rPr>
          <w:rFonts w:ascii="Times New Roman" w:eastAsia="楷体" w:hAnsi="Times New Roman" w:cs="Times New Roman"/>
          <w:szCs w:val="24"/>
        </w:rPr>
        <w:t>本级加载得分，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3i</w:t>
      </w:r>
      <w:r>
        <w:rPr>
          <w:rFonts w:ascii="Times New Roman" w:eastAsia="楷体" w:hAnsi="Times New Roman" w:cs="Times New Roman"/>
          <w:szCs w:val="24"/>
        </w:rPr>
        <w:t>=</w:t>
      </w:r>
      <w:r>
        <w:rPr>
          <w:rFonts w:ascii="Times New Roman" w:eastAsia="楷体" w:hAnsi="Times New Roman" w:cs="Times New Roman" w:hint="eastAsia"/>
          <w:szCs w:val="24"/>
        </w:rPr>
        <w:t>3</w:t>
      </w:r>
      <w:r>
        <w:rPr>
          <w:rFonts w:ascii="Times New Roman" w:eastAsia="楷体" w:hAnsi="Times New Roman" w:cs="Times New Roman"/>
          <w:szCs w:val="24"/>
        </w:rPr>
        <w:t>0</w:t>
      </w:r>
      <m:oMath>
        <m:sSub>
          <m:sSubPr>
            <m:ctrlPr>
              <w:rPr>
                <w:rFonts w:ascii="Cambria Math" w:eastAsia="楷体" w:hAnsi="Cambria Math" w:cs="Times New Roman"/>
                <w:i/>
                <w:szCs w:val="24"/>
              </w:rPr>
            </m:ctrlPr>
          </m:sSubPr>
          <m:e>
            <m:r>
              <w:rPr>
                <w:rFonts w:ascii="Cambria Math" w:eastAsia="楷体" w:hAnsi="Cambria Math" w:cs="Times New Roman"/>
                <w:szCs w:val="24"/>
              </w:rPr>
              <m:t>k</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k</m:t>
            </m:r>
          </m:e>
          <m:sub>
            <m:r>
              <m:rPr>
                <m:sty m:val="p"/>
              </m:rPr>
              <w:rPr>
                <w:rFonts w:ascii="Cambria Math" w:eastAsia="楷体" w:hAnsi="Cambria Math" w:cs="Times New Roman"/>
                <w:szCs w:val="24"/>
              </w:rPr>
              <m:t>3,max</m:t>
            </m:r>
          </m:sub>
        </m:sSub>
      </m:oMath>
      <w:r>
        <w:rPr>
          <w:rFonts w:ascii="Times New Roman" w:eastAsia="楷体" w:hAnsi="Times New Roman" w:cs="Times New Roman"/>
          <w:szCs w:val="24"/>
        </w:rPr>
        <w:t>。</w:t>
      </w:r>
    </w:p>
    <w:p w14:paraId="17116F8C" w14:textId="77777777" w:rsidR="00A84A4C" w:rsidRDefault="00000000">
      <w:pPr>
        <w:numPr>
          <w:ilvl w:val="0"/>
          <w:numId w:val="4"/>
        </w:numPr>
        <w:spacing w:line="360" w:lineRule="auto"/>
        <w:ind w:left="0" w:firstLine="567"/>
        <w:jc w:val="left"/>
        <w:rPr>
          <w:rFonts w:ascii="Times New Roman" w:eastAsia="楷体" w:hAnsi="Times New Roman" w:cs="Times New Roman"/>
          <w:szCs w:val="24"/>
        </w:rPr>
      </w:pPr>
      <w:r>
        <w:rPr>
          <w:rFonts w:ascii="Times New Roman" w:eastAsia="楷体" w:hAnsi="Times New Roman" w:cs="Times New Roman"/>
          <w:szCs w:val="24"/>
        </w:rPr>
        <w:t>第</w:t>
      </w:r>
      <w:r>
        <w:rPr>
          <w:rFonts w:ascii="Times New Roman" w:eastAsia="楷体" w:hAnsi="Times New Roman" w:cs="Times New Roman"/>
          <w:i/>
          <w:iCs/>
          <w:szCs w:val="24"/>
        </w:rPr>
        <w:t>i</w:t>
      </w:r>
      <w:r>
        <w:rPr>
          <w:rFonts w:ascii="Times New Roman" w:eastAsia="楷体" w:hAnsi="Times New Roman" w:cs="Times New Roman"/>
          <w:szCs w:val="24"/>
        </w:rPr>
        <w:t>队的加载表现得分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根据上述各项之和得出，即：</w:t>
      </w:r>
    </w:p>
    <w:p w14:paraId="12F11E69" w14:textId="77777777" w:rsidR="00A84A4C" w:rsidRDefault="00000000">
      <w:pPr>
        <w:spacing w:line="360" w:lineRule="auto"/>
        <w:jc w:val="center"/>
        <w:rPr>
          <w:rFonts w:ascii="Times New Roman" w:eastAsia="楷体" w:hAnsi="Times New Roman" w:cs="Times New Roman"/>
          <w:szCs w:val="24"/>
          <w:vertAlign w:val="subscript"/>
        </w:rPr>
      </w:pP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3i</w:t>
      </w:r>
      <w:bookmarkStart w:id="11" w:name="_Toc22068"/>
      <w:bookmarkEnd w:id="11"/>
    </w:p>
    <w:p w14:paraId="47285FBC" w14:textId="77777777" w:rsidR="00A84A4C" w:rsidRDefault="00000000">
      <w:pPr>
        <w:numPr>
          <w:ilvl w:val="2"/>
          <w:numId w:val="3"/>
        </w:numPr>
        <w:spacing w:line="360" w:lineRule="auto"/>
        <w:ind w:left="0" w:firstLine="851"/>
        <w:jc w:val="left"/>
        <w:rPr>
          <w:rFonts w:ascii="Times New Roman" w:hAnsi="Times New Roman" w:cs="Times New Roman"/>
        </w:rPr>
      </w:pPr>
      <w:r>
        <w:rPr>
          <w:rFonts w:ascii="Times New Roman" w:eastAsia="楷体" w:hAnsi="Times New Roman" w:cs="Times New Roman"/>
          <w:szCs w:val="24"/>
        </w:rPr>
        <w:t>罚分标准（</w:t>
      </w:r>
      <w:r>
        <w:rPr>
          <w:rFonts w:ascii="Times New Roman" w:eastAsia="楷体" w:hAnsi="Times New Roman" w:cs="Times New Roman"/>
          <w:i/>
          <w:iCs/>
          <w:szCs w:val="24"/>
        </w:rPr>
        <w:t>F</w:t>
      </w:r>
      <w:r>
        <w:rPr>
          <w:rFonts w:ascii="Times New Roman" w:eastAsia="楷体" w:hAnsi="Times New Roman" w:cs="Times New Roman"/>
          <w:szCs w:val="24"/>
          <w:vertAlign w:val="subscript"/>
        </w:rPr>
        <w:t>i</w:t>
      </w:r>
      <w:r>
        <w:rPr>
          <w:rFonts w:ascii="Times New Roman" w:eastAsia="楷体" w:hAnsi="Times New Roman" w:cs="Times New Roman"/>
          <w:szCs w:val="24"/>
        </w:rPr>
        <w:t>）</w:t>
      </w:r>
    </w:p>
    <w:p w14:paraId="72ED94F9"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出现以下情况，进行罚分，所罚分数累计计算，总罚分记为</w:t>
      </w:r>
      <w:r>
        <w:rPr>
          <w:rFonts w:ascii="Times New Roman" w:eastAsia="楷体" w:hAnsi="Times New Roman" w:cs="Times New Roman"/>
          <w:i/>
          <w:iCs/>
          <w:szCs w:val="24"/>
        </w:rPr>
        <w:t>F</w:t>
      </w:r>
      <w:r>
        <w:rPr>
          <w:rFonts w:ascii="Times New Roman" w:eastAsia="楷体" w:hAnsi="Times New Roman" w:cs="Times New Roman"/>
          <w:szCs w:val="24"/>
          <w:vertAlign w:val="subscript"/>
        </w:rPr>
        <w:t>i</w:t>
      </w:r>
      <w:r>
        <w:rPr>
          <w:rFonts w:ascii="Times New Roman" w:eastAsia="楷体" w:hAnsi="Times New Roman" w:cs="Times New Roman"/>
        </w:rPr>
        <w:t>（总罚分最多罚到加载表现得</w:t>
      </w:r>
      <w:r>
        <w:rPr>
          <w:rFonts w:ascii="Times New Roman" w:eastAsia="楷体" w:hAnsi="Times New Roman" w:cs="Times New Roman"/>
        </w:rPr>
        <w:t xml:space="preserve"> 0 </w:t>
      </w:r>
      <w:r>
        <w:rPr>
          <w:rFonts w:ascii="Times New Roman" w:eastAsia="楷体" w:hAnsi="Times New Roman" w:cs="Times New Roman"/>
        </w:rPr>
        <w:t>分为止，加载表现不产生负分）。</w:t>
      </w:r>
    </w:p>
    <w:p w14:paraId="1F7900F5"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hint="eastAsia"/>
        </w:rPr>
        <w:t>1</w:t>
      </w:r>
      <w:r>
        <w:rPr>
          <w:rFonts w:ascii="Times New Roman" w:eastAsia="楷体" w:hAnsi="Times New Roman" w:cs="Times New Roman"/>
        </w:rPr>
        <w:t>）加载准备时间超过</w:t>
      </w:r>
      <w:r>
        <w:rPr>
          <w:rFonts w:ascii="Times New Roman" w:eastAsia="楷体" w:hAnsi="Times New Roman" w:cs="Times New Roman" w:hint="eastAsia"/>
        </w:rPr>
        <w:t>第</w:t>
      </w:r>
      <w:r>
        <w:rPr>
          <w:rFonts w:ascii="Times New Roman" w:eastAsia="楷体" w:hAnsi="Times New Roman" w:cs="Times New Roman" w:hint="eastAsia"/>
        </w:rPr>
        <w:t>8</w:t>
      </w:r>
      <w:r>
        <w:rPr>
          <w:rFonts w:ascii="Times New Roman" w:eastAsia="楷体" w:hAnsi="Times New Roman" w:cs="Times New Roman"/>
        </w:rPr>
        <w:t>.1</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00266B15"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hint="eastAsia"/>
        </w:rPr>
        <w:lastRenderedPageBreak/>
        <w:t>2</w:t>
      </w:r>
      <w:r>
        <w:rPr>
          <w:rFonts w:ascii="Times New Roman" w:eastAsia="楷体" w:hAnsi="Times New Roman" w:cs="Times New Roman"/>
        </w:rPr>
        <w:t>）加载测试时间超过</w:t>
      </w:r>
      <w:r>
        <w:rPr>
          <w:rFonts w:ascii="Times New Roman" w:eastAsia="楷体" w:hAnsi="Times New Roman" w:cs="Times New Roman" w:hint="eastAsia"/>
        </w:rPr>
        <w:t>第</w:t>
      </w:r>
      <w:r>
        <w:rPr>
          <w:rFonts w:ascii="Times New Roman" w:eastAsia="楷体" w:hAnsi="Times New Roman" w:cs="Times New Roman" w:hint="eastAsia"/>
        </w:rPr>
        <w:t>8.2</w:t>
      </w:r>
      <w:r>
        <w:rPr>
          <w:rFonts w:ascii="Times New Roman" w:eastAsia="楷体" w:hAnsi="Times New Roman" w:cs="Times New Roman"/>
        </w:rPr>
        <w:t>条所要求</w:t>
      </w:r>
      <w:r>
        <w:rPr>
          <w:rFonts w:ascii="Times New Roman" w:eastAsia="楷体" w:hAnsi="Times New Roman" w:cs="Times New Roman" w:hint="eastAsia"/>
        </w:rPr>
        <w:t>10</w:t>
      </w:r>
      <w:r>
        <w:rPr>
          <w:rFonts w:ascii="Times New Roman" w:eastAsia="楷体" w:hAnsi="Times New Roman" w:cs="Times New Roman"/>
        </w:rPr>
        <w:t>分钟限制，加载停止，已完成级别的测试成绩有效。</w:t>
      </w:r>
      <w:r>
        <w:rPr>
          <w:rFonts w:ascii="Times New Roman" w:eastAsia="楷体" w:hAnsi="Times New Roman" w:cs="Times New Roman" w:hint="eastAsia"/>
        </w:rPr>
        <w:t>10</w:t>
      </w:r>
      <w:r>
        <w:rPr>
          <w:rFonts w:ascii="Times New Roman" w:eastAsia="楷体" w:hAnsi="Times New Roman" w:cs="Times New Roman" w:hint="eastAsia"/>
        </w:rPr>
        <w:t>分钟直至全部参赛队员携带模型离开加载区域</w:t>
      </w:r>
      <w:r>
        <w:rPr>
          <w:rFonts w:ascii="Times New Roman" w:eastAsia="楷体" w:hAnsi="Times New Roman" w:cs="Times New Roman"/>
        </w:rPr>
        <w:t>，每超过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2</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w:t>
      </w:r>
    </w:p>
    <w:p w14:paraId="5CE6C152"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9.5</w:t>
      </w:r>
      <w:r>
        <w:rPr>
          <w:rFonts w:ascii="Times New Roman" w:eastAsia="楷体" w:hAnsi="Times New Roman" w:cs="Times New Roman" w:hint="eastAsia"/>
          <w:b/>
        </w:rPr>
        <w:t>总分计算式</w:t>
      </w:r>
      <w:r>
        <w:rPr>
          <w:rFonts w:ascii="Times New Roman" w:eastAsia="楷体" w:hAnsi="Times New Roman" w:cs="Times New Roman" w:hint="eastAsia"/>
          <w:b/>
        </w:rPr>
        <w:t xml:space="preserve"> </w:t>
      </w:r>
    </w:p>
    <w:p w14:paraId="1B934594" w14:textId="77777777" w:rsidR="00A84A4C" w:rsidRDefault="00000000">
      <w:pPr>
        <w:widowControl/>
        <w:spacing w:line="360" w:lineRule="auto"/>
        <w:ind w:firstLineChars="300" w:firstLine="720"/>
        <w:jc w:val="left"/>
        <w:rPr>
          <w:rFonts w:ascii="Times New Roman" w:eastAsia="宋体" w:hAnsi="Times New Roman" w:cs="Times New Roman"/>
          <w:kern w:val="0"/>
          <w:szCs w:val="24"/>
          <w:vertAlign w:val="subscript"/>
          <w:lang w:bidi="ar"/>
        </w:rPr>
      </w:pPr>
      <w:r>
        <w:rPr>
          <w:rFonts w:ascii="Times New Roman" w:eastAsia="楷体" w:hAnsi="Times New Roman" w:cs="Times New Roman"/>
          <w:kern w:val="0"/>
          <w:szCs w:val="24"/>
          <w:lang w:bidi="ar"/>
        </w:rPr>
        <w:t>第</w:t>
      </w:r>
      <w:r>
        <w:rPr>
          <w:rFonts w:ascii="Times New Roman" w:eastAsia="宋体" w:hAnsi="Times New Roman" w:cs="Times New Roman"/>
          <w:i/>
          <w:iCs/>
          <w:kern w:val="0"/>
          <w:szCs w:val="24"/>
          <w:lang w:bidi="ar"/>
        </w:rPr>
        <w:t>i</w:t>
      </w:r>
      <w:r>
        <w:rPr>
          <w:rFonts w:ascii="Times New Roman" w:eastAsia="楷体" w:hAnsi="Times New Roman" w:cs="Times New Roman"/>
          <w:kern w:val="0"/>
          <w:szCs w:val="24"/>
          <w:lang w:bidi="ar"/>
        </w:rPr>
        <w:t>队总分计算为：</w:t>
      </w:r>
      <w:r>
        <w:rPr>
          <w:rFonts w:ascii="Times New Roman" w:eastAsia="楷体" w:hAnsi="Times New Roman" w:cs="Times New Roman"/>
          <w:kern w:val="0"/>
          <w:szCs w:val="24"/>
          <w:lang w:bidi="ar"/>
        </w:rPr>
        <w:t xml:space="preserve"> </w:t>
      </w:r>
      <w:r>
        <w:rPr>
          <w:rFonts w:ascii="Times New Roman" w:eastAsia="宋体" w:hAnsi="Times New Roman" w:cs="Times New Roman"/>
          <w:i/>
          <w:iCs/>
          <w:kern w:val="0"/>
          <w:szCs w:val="24"/>
          <w:lang w:bidi="ar"/>
        </w:rPr>
        <w:t>S</w:t>
      </w:r>
      <w:r>
        <w:rPr>
          <w:rFonts w:ascii="Times New Roman" w:eastAsia="宋体" w:hAnsi="Times New Roman" w:cs="Times New Roman"/>
          <w:kern w:val="0"/>
          <w:szCs w:val="24"/>
          <w:vertAlign w:val="subscript"/>
          <w:lang w:bidi="ar"/>
        </w:rPr>
        <w:t>i</w:t>
      </w:r>
      <w:r>
        <w:rPr>
          <w:rFonts w:ascii="Times New Roman" w:eastAsia="宋体" w:hAnsi="Times New Roman" w:cs="Times New Roman"/>
          <w:i/>
          <w:iCs/>
          <w:kern w:val="0"/>
          <w:szCs w:val="24"/>
          <w:lang w:bidi="ar"/>
        </w:rPr>
        <w:t xml:space="preserve"> </w:t>
      </w:r>
      <w:r>
        <w:rPr>
          <w:rFonts w:ascii="Times New Roman" w:eastAsia="宋体" w:hAnsi="Times New Roman" w:cs="Times New Roman"/>
          <w:kern w:val="0"/>
          <w:szCs w:val="24"/>
          <w:lang w:bidi="ar"/>
        </w:rPr>
        <w:t>=</w:t>
      </w:r>
      <w:r>
        <w:rPr>
          <w:rFonts w:ascii="Times New Roman" w:eastAsia="宋体" w:hAnsi="Times New Roman" w:cs="Times New Roman"/>
          <w:i/>
          <w:iCs/>
          <w:kern w:val="0"/>
          <w:szCs w:val="24"/>
          <w:lang w:bidi="ar"/>
        </w:rPr>
        <w:t>D</w:t>
      </w:r>
      <w:r>
        <w:rPr>
          <w:rFonts w:ascii="Times New Roman" w:eastAsia="宋体" w:hAnsi="Times New Roman" w:cs="Times New Roman"/>
          <w:kern w:val="0"/>
          <w:szCs w:val="24"/>
          <w:vertAlign w:val="subscript"/>
          <w:lang w:bidi="ar"/>
        </w:rPr>
        <w:t>i</w:t>
      </w:r>
      <w:r>
        <w:rPr>
          <w:rFonts w:ascii="Times New Roman" w:eastAsia="宋体" w:hAnsi="Times New Roman" w:cs="Times New Roman"/>
          <w:i/>
          <w:iCs/>
          <w:kern w:val="0"/>
          <w:szCs w:val="24"/>
          <w:lang w:bidi="ar"/>
        </w:rPr>
        <w:t xml:space="preserve"> </w:t>
      </w:r>
      <w:r>
        <w:rPr>
          <w:rFonts w:ascii="Times New Roman" w:eastAsia="微软雅黑" w:hAnsi="Times New Roman" w:cs="Times New Roman"/>
          <w:kern w:val="0"/>
          <w:szCs w:val="24"/>
          <w:lang w:bidi="ar"/>
        </w:rPr>
        <w:t>−</w:t>
      </w:r>
      <w:r>
        <w:rPr>
          <w:rFonts w:ascii="Times New Roman" w:eastAsia="宋体" w:hAnsi="Times New Roman" w:cs="Times New Roman"/>
          <w:i/>
          <w:iCs/>
          <w:kern w:val="0"/>
          <w:szCs w:val="24"/>
          <w:lang w:bidi="ar"/>
        </w:rPr>
        <w:t>F</w:t>
      </w:r>
      <w:r>
        <w:rPr>
          <w:rFonts w:ascii="Times New Roman" w:eastAsia="宋体" w:hAnsi="Times New Roman" w:cs="Times New Roman"/>
          <w:kern w:val="0"/>
          <w:szCs w:val="24"/>
          <w:vertAlign w:val="subscript"/>
          <w:lang w:bidi="ar"/>
        </w:rPr>
        <w:t>i</w:t>
      </w:r>
    </w:p>
    <w:p w14:paraId="7BE0F802" w14:textId="77777777" w:rsidR="00A84A4C" w:rsidRDefault="00000000">
      <w:pPr>
        <w:pStyle w:val="1"/>
        <w:spacing w:before="0" w:after="0" w:line="579" w:lineRule="auto"/>
        <w:rPr>
          <w:rFonts w:ascii="Times New Roman" w:eastAsia="楷体" w:hAnsi="Times New Roman" w:cs="Times New Roman"/>
          <w:kern w:val="28"/>
          <w:sz w:val="28"/>
          <w:szCs w:val="28"/>
        </w:rPr>
      </w:pPr>
      <w:r>
        <w:rPr>
          <w:rFonts w:ascii="Times New Roman" w:eastAsia="楷体" w:hAnsi="Times New Roman" w:cs="Times New Roman" w:hint="eastAsia"/>
          <w:kern w:val="28"/>
          <w:sz w:val="28"/>
          <w:szCs w:val="28"/>
        </w:rPr>
        <w:t>10.</w:t>
      </w:r>
      <w:r>
        <w:rPr>
          <w:rFonts w:ascii="Times New Roman" w:eastAsia="楷体" w:hAnsi="Times New Roman" w:cs="Times New Roman" w:hint="eastAsia"/>
          <w:kern w:val="28"/>
          <w:sz w:val="28"/>
          <w:szCs w:val="28"/>
        </w:rPr>
        <w:t>模型合格性评审与雷同性评审</w:t>
      </w:r>
    </w:p>
    <w:p w14:paraId="00975C3E"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10.1</w:t>
      </w:r>
      <w:r>
        <w:rPr>
          <w:rFonts w:ascii="Times New Roman" w:eastAsia="楷体" w:hAnsi="Times New Roman" w:cs="Times New Roman" w:hint="eastAsia"/>
          <w:b/>
        </w:rPr>
        <w:t>合格性评审</w:t>
      </w:r>
    </w:p>
    <w:p w14:paraId="49BA5F36"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合格性评审由竞赛评委组负责</w:t>
      </w:r>
      <w:r>
        <w:rPr>
          <w:rFonts w:ascii="Times New Roman" w:eastAsia="楷体" w:hAnsi="Times New Roman" w:cs="Times New Roman" w:hint="eastAsia"/>
        </w:rPr>
        <w:t>，</w:t>
      </w:r>
      <w:r>
        <w:rPr>
          <w:rFonts w:ascii="Times New Roman" w:eastAsia="楷体" w:hAnsi="Times New Roman" w:cs="Times New Roman"/>
        </w:rPr>
        <w:t>竞赛志愿者具体协助执行。主要是检查学生是否携带违禁物品、工具或材料到制作场地</w:t>
      </w:r>
      <w:r>
        <w:rPr>
          <w:rFonts w:ascii="Times New Roman" w:eastAsia="楷体" w:hAnsi="Times New Roman" w:cs="Times New Roman" w:hint="eastAsia"/>
        </w:rPr>
        <w:t>，</w:t>
      </w:r>
      <w:r>
        <w:rPr>
          <w:rFonts w:ascii="Times New Roman" w:eastAsia="楷体" w:hAnsi="Times New Roman" w:cs="Times New Roman"/>
        </w:rPr>
        <w:t>模型设计是否符合赛题背景，结构体系、尺寸、加载区域划线</w:t>
      </w:r>
      <w:r>
        <w:rPr>
          <w:rFonts w:ascii="Times New Roman" w:eastAsia="楷体" w:hAnsi="Times New Roman" w:cs="Times New Roman" w:hint="eastAsia"/>
        </w:rPr>
        <w:t>、热熔胶操作</w:t>
      </w:r>
      <w:r>
        <w:rPr>
          <w:rFonts w:ascii="Times New Roman" w:eastAsia="楷体" w:hAnsi="Times New Roman" w:cs="Times New Roman"/>
        </w:rPr>
        <w:t>等是否符合赛题要求。评定为不合格的模型不给予加载机会或取消加载成绩。</w:t>
      </w:r>
    </w:p>
    <w:p w14:paraId="0DE3664D" w14:textId="77777777" w:rsidR="00A84A4C" w:rsidRDefault="00000000">
      <w:pPr>
        <w:keepNext/>
        <w:keepLines/>
        <w:spacing w:line="360" w:lineRule="auto"/>
        <w:jc w:val="left"/>
        <w:outlineLvl w:val="1"/>
        <w:rPr>
          <w:rFonts w:ascii="Times New Roman" w:eastAsia="楷体" w:hAnsi="Times New Roman" w:cs="Times New Roman"/>
          <w:b/>
        </w:rPr>
      </w:pPr>
      <w:r>
        <w:rPr>
          <w:rFonts w:ascii="Times New Roman" w:eastAsia="楷体" w:hAnsi="Times New Roman" w:cs="Times New Roman" w:hint="eastAsia"/>
          <w:b/>
        </w:rPr>
        <w:t>10.2</w:t>
      </w:r>
      <w:r>
        <w:rPr>
          <w:rFonts w:ascii="Times New Roman" w:eastAsia="楷体" w:hAnsi="Times New Roman" w:cs="Times New Roman" w:hint="eastAsia"/>
          <w:b/>
        </w:rPr>
        <w:t>雷同性评审</w:t>
      </w:r>
    </w:p>
    <w:p w14:paraId="67D84215"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为激发参赛学生的创新能力，体现竞赛公平与公正性，在加载后对同一指导老师指导的参赛作品进行雷同性评定。</w:t>
      </w:r>
      <w:r>
        <w:rPr>
          <w:rFonts w:ascii="Times New Roman" w:eastAsia="楷体" w:hAnsi="Times New Roman" w:cs="Times New Roman" w:hint="eastAsia"/>
        </w:rPr>
        <w:t>同一指导老师指导队伍模型高度不符合</w:t>
      </w:r>
      <w:r>
        <w:rPr>
          <w:rFonts w:ascii="Times New Roman" w:eastAsia="楷体" w:hAnsi="Times New Roman" w:cs="Times New Roman"/>
        </w:rPr>
        <w:t>表</w:t>
      </w:r>
      <w:r>
        <w:rPr>
          <w:rFonts w:ascii="Times New Roman" w:eastAsia="楷体" w:hAnsi="Times New Roman" w:cs="Times New Roman" w:hint="eastAsia"/>
        </w:rPr>
        <w:t>3-1</w:t>
      </w:r>
      <w:r>
        <w:rPr>
          <w:rFonts w:ascii="Times New Roman" w:eastAsia="楷体" w:hAnsi="Times New Roman" w:cs="Times New Roman"/>
        </w:rPr>
        <w:t>中的参数</w:t>
      </w:r>
      <w:r>
        <w:rPr>
          <w:rFonts w:ascii="Times New Roman" w:eastAsia="楷体" w:hAnsi="Times New Roman" w:cs="Times New Roman" w:hint="eastAsia"/>
        </w:rPr>
        <w:t>设置要求，均评为雷同模型，均罚</w:t>
      </w:r>
      <w:r>
        <w:rPr>
          <w:rFonts w:ascii="Times New Roman" w:eastAsia="楷体" w:hAnsi="Times New Roman" w:cs="Times New Roman" w:hint="eastAsia"/>
        </w:rPr>
        <w:t>3</w:t>
      </w:r>
      <w:r>
        <w:rPr>
          <w:rFonts w:ascii="Times New Roman" w:eastAsia="楷体" w:hAnsi="Times New Roman" w:cs="Times New Roman" w:hint="eastAsia"/>
        </w:rPr>
        <w:t>分后只取各高度的最好成绩进行排名</w:t>
      </w:r>
      <w:r>
        <w:rPr>
          <w:rFonts w:ascii="Times New Roman" w:eastAsia="楷体" w:hAnsi="Times New Roman" w:cs="Times New Roman"/>
        </w:rPr>
        <w:t>。</w:t>
      </w:r>
    </w:p>
    <w:p w14:paraId="6E6BFC9D"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hint="eastAsia"/>
        </w:rPr>
        <w:t>其它</w:t>
      </w:r>
    </w:p>
    <w:p w14:paraId="3FC6FCD6"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关于本赛题如有疑问，可询问科协赛事负责人：</w:t>
      </w:r>
    </w:p>
    <w:p w14:paraId="4FDE6380"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hint="eastAsia"/>
        </w:rPr>
        <w:t>黄志</w:t>
      </w:r>
      <w:r>
        <w:rPr>
          <w:rFonts w:ascii="Times New Roman" w:eastAsia="楷体" w:hAnsi="Times New Roman" w:cs="Times New Roman"/>
        </w:rPr>
        <w:t>（老师）：</w:t>
      </w:r>
      <w:r>
        <w:rPr>
          <w:rFonts w:ascii="Times New Roman" w:eastAsia="楷体" w:hAnsi="Times New Roman" w:cs="Times New Roman" w:hint="eastAsia"/>
        </w:rPr>
        <w:t>18573107066</w:t>
      </w:r>
      <w:r>
        <w:rPr>
          <w:rFonts w:ascii="Times New Roman" w:eastAsia="楷体" w:hAnsi="Times New Roman" w:cs="Times New Roman" w:hint="eastAsia"/>
        </w:rPr>
        <w:t>。</w:t>
      </w:r>
    </w:p>
    <w:p w14:paraId="219C0376" w14:textId="77777777" w:rsidR="00A84A4C"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其它未尽事宜，由竞赛组委会研究决定。</w:t>
      </w:r>
    </w:p>
    <w:p w14:paraId="793D9729" w14:textId="77777777" w:rsidR="00A84A4C" w:rsidRDefault="00A84A4C">
      <w:pPr>
        <w:pStyle w:val="a0"/>
        <w:rPr>
          <w:rFonts w:hint="eastAsia"/>
        </w:rPr>
      </w:pPr>
    </w:p>
    <w:p w14:paraId="4ADD032B" w14:textId="77777777" w:rsidR="00A84A4C" w:rsidRDefault="00A84A4C">
      <w:pPr>
        <w:widowControl/>
        <w:spacing w:line="360" w:lineRule="auto"/>
        <w:ind w:firstLineChars="200" w:firstLine="482"/>
        <w:rPr>
          <w:rFonts w:ascii="Times New Roman" w:eastAsia="楷体" w:hAnsi="Times New Roman" w:cs="Times New Roman"/>
          <w:b/>
          <w:bCs/>
        </w:rPr>
      </w:pPr>
    </w:p>
    <w:sectPr w:rsidR="00A84A4C">
      <w:headerReference w:type="default" r:id="rId16"/>
      <w:footerReference w:type="default" r:id="rId17"/>
      <w:pgSz w:w="11906" w:h="16838"/>
      <w:pgMar w:top="1304" w:right="1134" w:bottom="1304" w:left="1134" w:header="737" w:footer="68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6761B" w14:textId="77777777" w:rsidR="00707ACB" w:rsidRDefault="00707ACB">
      <w:pPr>
        <w:rPr>
          <w:rFonts w:hint="eastAsia"/>
        </w:rPr>
      </w:pPr>
      <w:r>
        <w:separator/>
      </w:r>
    </w:p>
  </w:endnote>
  <w:endnote w:type="continuationSeparator" w:id="0">
    <w:p w14:paraId="726312DC" w14:textId="77777777" w:rsidR="00707ACB" w:rsidRDefault="00707AC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816837"/>
    </w:sdtPr>
    <w:sdtContent>
      <w:p w14:paraId="0E14089D" w14:textId="77777777" w:rsidR="00A84A4C" w:rsidRDefault="00000000">
        <w:pPr>
          <w:pStyle w:val="aa"/>
          <w:jc w:val="center"/>
          <w:rPr>
            <w:rFonts w:hint="eastAsia"/>
          </w:rPr>
        </w:pPr>
        <w:r>
          <w:fldChar w:fldCharType="begin"/>
        </w:r>
        <w:r>
          <w:instrText>PAGE   \* MERGEFORMAT</w:instrText>
        </w:r>
        <w:r>
          <w:fldChar w:fldCharType="separate"/>
        </w:r>
        <w:r>
          <w:rPr>
            <w:lang w:val="zh-CN"/>
          </w:rPr>
          <w:t>1</w:t>
        </w:r>
        <w:r>
          <w:fldChar w:fldCharType="end"/>
        </w:r>
      </w:p>
    </w:sdtContent>
  </w:sdt>
  <w:sdt>
    <w:sdtPr>
      <w:id w:val="-325898427"/>
      <w:showingPlcHdr/>
    </w:sdtPr>
    <w:sdtContent>
      <w:p w14:paraId="319B2C54" w14:textId="77777777" w:rsidR="00A84A4C" w:rsidRDefault="00000000">
        <w:pPr>
          <w:pStyle w:val="aa"/>
          <w:jc w:val="center"/>
          <w:rPr>
            <w:rFonts w:hint="eastAsia"/>
          </w:rPr>
        </w:pPr>
        <w:r>
          <w:t xml:space="preserve">     </w:t>
        </w:r>
      </w:p>
    </w:sdtContent>
  </w:sdt>
  <w:p w14:paraId="29005C52" w14:textId="77777777" w:rsidR="00A84A4C" w:rsidRDefault="00A84A4C">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C875A" w14:textId="77777777" w:rsidR="00707ACB" w:rsidRDefault="00707ACB">
      <w:pPr>
        <w:rPr>
          <w:rFonts w:hint="eastAsia"/>
        </w:rPr>
      </w:pPr>
      <w:r>
        <w:separator/>
      </w:r>
    </w:p>
  </w:footnote>
  <w:footnote w:type="continuationSeparator" w:id="0">
    <w:p w14:paraId="7733D484" w14:textId="77777777" w:rsidR="00707ACB" w:rsidRDefault="00707AC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8E504" w14:textId="77777777" w:rsidR="00A84A4C" w:rsidRDefault="00000000">
    <w:pPr>
      <w:pStyle w:val="ac"/>
      <w:rPr>
        <w:rFonts w:ascii="Times New Roman" w:eastAsia="楷体" w:hAnsi="Times New Roman" w:cs="Times New Roman"/>
      </w:rPr>
    </w:pPr>
    <w:r>
      <w:rPr>
        <w:rFonts w:ascii="Times New Roman" w:eastAsia="楷体" w:hAnsi="Times New Roman" w:cs="Times New Roman"/>
      </w:rPr>
      <w:t>2024</w:t>
    </w:r>
    <w:r>
      <w:rPr>
        <w:rFonts w:ascii="Times New Roman" w:eastAsia="楷体" w:hAnsi="Times New Roman" w:cs="Times New Roman"/>
      </w:rPr>
      <w:t>年湖南科技大学第十二届大学生结构设计竞赛暨第十二届湖南省大学生结构设计竞赛选拔赛赛题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2"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61322833">
    <w:abstractNumId w:val="1"/>
  </w:num>
  <w:num w:numId="2" w16cid:durableId="126515923">
    <w:abstractNumId w:val="3"/>
  </w:num>
  <w:num w:numId="3" w16cid:durableId="980887398">
    <w:abstractNumId w:val="0"/>
  </w:num>
  <w:num w:numId="4" w16cid:durableId="5362332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QwMDNlNTNmZmU5MmI5MDUxMTJjMDI4MWVhYzU5NmIifQ=="/>
  </w:docVars>
  <w:rsids>
    <w:rsidRoot w:val="0092523F"/>
    <w:rsid w:val="00000626"/>
    <w:rsid w:val="00000730"/>
    <w:rsid w:val="000030F5"/>
    <w:rsid w:val="000044D4"/>
    <w:rsid w:val="00006800"/>
    <w:rsid w:val="000114B7"/>
    <w:rsid w:val="00011DB1"/>
    <w:rsid w:val="000214B6"/>
    <w:rsid w:val="00023515"/>
    <w:rsid w:val="00024059"/>
    <w:rsid w:val="00025A98"/>
    <w:rsid w:val="00025F69"/>
    <w:rsid w:val="00026CBB"/>
    <w:rsid w:val="000309CC"/>
    <w:rsid w:val="00033CC6"/>
    <w:rsid w:val="00034E3C"/>
    <w:rsid w:val="00046EFD"/>
    <w:rsid w:val="0005044C"/>
    <w:rsid w:val="00052C3B"/>
    <w:rsid w:val="0006100F"/>
    <w:rsid w:val="00061441"/>
    <w:rsid w:val="00061630"/>
    <w:rsid w:val="000616B3"/>
    <w:rsid w:val="00064AFC"/>
    <w:rsid w:val="0006731E"/>
    <w:rsid w:val="000679D3"/>
    <w:rsid w:val="00067E60"/>
    <w:rsid w:val="000744C3"/>
    <w:rsid w:val="00075301"/>
    <w:rsid w:val="00075A54"/>
    <w:rsid w:val="00076174"/>
    <w:rsid w:val="00082C34"/>
    <w:rsid w:val="00082D9D"/>
    <w:rsid w:val="00084841"/>
    <w:rsid w:val="00086684"/>
    <w:rsid w:val="00086C91"/>
    <w:rsid w:val="00090E1A"/>
    <w:rsid w:val="00094710"/>
    <w:rsid w:val="000950FE"/>
    <w:rsid w:val="000972FF"/>
    <w:rsid w:val="000A0A1E"/>
    <w:rsid w:val="000A1D75"/>
    <w:rsid w:val="000A40CF"/>
    <w:rsid w:val="000A566E"/>
    <w:rsid w:val="000A76AC"/>
    <w:rsid w:val="000B11E7"/>
    <w:rsid w:val="000B279A"/>
    <w:rsid w:val="000B3681"/>
    <w:rsid w:val="000B677A"/>
    <w:rsid w:val="000B6810"/>
    <w:rsid w:val="000B6A89"/>
    <w:rsid w:val="000C025F"/>
    <w:rsid w:val="000C0539"/>
    <w:rsid w:val="000C5AED"/>
    <w:rsid w:val="000C604F"/>
    <w:rsid w:val="000C6B48"/>
    <w:rsid w:val="000D3170"/>
    <w:rsid w:val="000D5C57"/>
    <w:rsid w:val="000D750A"/>
    <w:rsid w:val="000E04BE"/>
    <w:rsid w:val="000E24B7"/>
    <w:rsid w:val="000E3569"/>
    <w:rsid w:val="000E7554"/>
    <w:rsid w:val="000F039E"/>
    <w:rsid w:val="000F0A2A"/>
    <w:rsid w:val="000F2651"/>
    <w:rsid w:val="000F2876"/>
    <w:rsid w:val="000F7427"/>
    <w:rsid w:val="00101DB2"/>
    <w:rsid w:val="00102C41"/>
    <w:rsid w:val="00105044"/>
    <w:rsid w:val="00105911"/>
    <w:rsid w:val="0010666D"/>
    <w:rsid w:val="00110469"/>
    <w:rsid w:val="001143F5"/>
    <w:rsid w:val="001233C6"/>
    <w:rsid w:val="00125A47"/>
    <w:rsid w:val="0012630A"/>
    <w:rsid w:val="001279B7"/>
    <w:rsid w:val="0013121A"/>
    <w:rsid w:val="00132701"/>
    <w:rsid w:val="00133FCB"/>
    <w:rsid w:val="00141087"/>
    <w:rsid w:val="0014152E"/>
    <w:rsid w:val="001445D6"/>
    <w:rsid w:val="00144DDE"/>
    <w:rsid w:val="001468CB"/>
    <w:rsid w:val="0014789F"/>
    <w:rsid w:val="00150DF0"/>
    <w:rsid w:val="00152178"/>
    <w:rsid w:val="00157DED"/>
    <w:rsid w:val="001610D7"/>
    <w:rsid w:val="001620CC"/>
    <w:rsid w:val="00163502"/>
    <w:rsid w:val="0016501E"/>
    <w:rsid w:val="00165710"/>
    <w:rsid w:val="00173C1D"/>
    <w:rsid w:val="0017473E"/>
    <w:rsid w:val="001823A1"/>
    <w:rsid w:val="001912C4"/>
    <w:rsid w:val="001922AD"/>
    <w:rsid w:val="00195699"/>
    <w:rsid w:val="0019672C"/>
    <w:rsid w:val="001A4B1A"/>
    <w:rsid w:val="001A615A"/>
    <w:rsid w:val="001B3BB3"/>
    <w:rsid w:val="001C0459"/>
    <w:rsid w:val="001C6678"/>
    <w:rsid w:val="001C6789"/>
    <w:rsid w:val="001D53A3"/>
    <w:rsid w:val="001E030E"/>
    <w:rsid w:val="001E3584"/>
    <w:rsid w:val="001E482E"/>
    <w:rsid w:val="001E7840"/>
    <w:rsid w:val="001F0514"/>
    <w:rsid w:val="001F06F1"/>
    <w:rsid w:val="001F0D47"/>
    <w:rsid w:val="001F36E7"/>
    <w:rsid w:val="001F5E61"/>
    <w:rsid w:val="001F6447"/>
    <w:rsid w:val="001F75E6"/>
    <w:rsid w:val="001F7BEF"/>
    <w:rsid w:val="0020097A"/>
    <w:rsid w:val="00201BAE"/>
    <w:rsid w:val="00202F1D"/>
    <w:rsid w:val="00211F78"/>
    <w:rsid w:val="00214623"/>
    <w:rsid w:val="002174A9"/>
    <w:rsid w:val="0022321A"/>
    <w:rsid w:val="0022324E"/>
    <w:rsid w:val="00227A33"/>
    <w:rsid w:val="00227FDF"/>
    <w:rsid w:val="00233CC9"/>
    <w:rsid w:val="002435DD"/>
    <w:rsid w:val="00251362"/>
    <w:rsid w:val="002521B0"/>
    <w:rsid w:val="0025238A"/>
    <w:rsid w:val="00252A65"/>
    <w:rsid w:val="0025657A"/>
    <w:rsid w:val="002567CB"/>
    <w:rsid w:val="00267865"/>
    <w:rsid w:val="00267D4D"/>
    <w:rsid w:val="0027454A"/>
    <w:rsid w:val="002755DC"/>
    <w:rsid w:val="00275CE8"/>
    <w:rsid w:val="002809FD"/>
    <w:rsid w:val="002822AD"/>
    <w:rsid w:val="002841F0"/>
    <w:rsid w:val="00287DA6"/>
    <w:rsid w:val="002974CC"/>
    <w:rsid w:val="002A38B7"/>
    <w:rsid w:val="002A427A"/>
    <w:rsid w:val="002A4303"/>
    <w:rsid w:val="002A4869"/>
    <w:rsid w:val="002B1DED"/>
    <w:rsid w:val="002B3170"/>
    <w:rsid w:val="002B31FC"/>
    <w:rsid w:val="002B40CA"/>
    <w:rsid w:val="002C1BC5"/>
    <w:rsid w:val="002C1DFD"/>
    <w:rsid w:val="002C29B8"/>
    <w:rsid w:val="002C3B70"/>
    <w:rsid w:val="002D2BA5"/>
    <w:rsid w:val="002D486F"/>
    <w:rsid w:val="002D5B50"/>
    <w:rsid w:val="002E1655"/>
    <w:rsid w:val="002F1569"/>
    <w:rsid w:val="002F1B1B"/>
    <w:rsid w:val="0030118D"/>
    <w:rsid w:val="0030156D"/>
    <w:rsid w:val="0030390B"/>
    <w:rsid w:val="00304FAC"/>
    <w:rsid w:val="003050B6"/>
    <w:rsid w:val="0031002E"/>
    <w:rsid w:val="00311938"/>
    <w:rsid w:val="00315120"/>
    <w:rsid w:val="00317769"/>
    <w:rsid w:val="00326760"/>
    <w:rsid w:val="00333903"/>
    <w:rsid w:val="003417AD"/>
    <w:rsid w:val="00342FDE"/>
    <w:rsid w:val="00346888"/>
    <w:rsid w:val="00347059"/>
    <w:rsid w:val="0035096B"/>
    <w:rsid w:val="00354A9A"/>
    <w:rsid w:val="00361851"/>
    <w:rsid w:val="00362CB3"/>
    <w:rsid w:val="00364DB1"/>
    <w:rsid w:val="003667E2"/>
    <w:rsid w:val="003677D8"/>
    <w:rsid w:val="00370759"/>
    <w:rsid w:val="003714DD"/>
    <w:rsid w:val="003810D5"/>
    <w:rsid w:val="00384C66"/>
    <w:rsid w:val="0038790D"/>
    <w:rsid w:val="00387B62"/>
    <w:rsid w:val="00391974"/>
    <w:rsid w:val="00397776"/>
    <w:rsid w:val="003A032F"/>
    <w:rsid w:val="003A2D35"/>
    <w:rsid w:val="003A2FD5"/>
    <w:rsid w:val="003A4D60"/>
    <w:rsid w:val="003A6402"/>
    <w:rsid w:val="003B25A3"/>
    <w:rsid w:val="003B5DEA"/>
    <w:rsid w:val="003B7224"/>
    <w:rsid w:val="003C06A5"/>
    <w:rsid w:val="003C078E"/>
    <w:rsid w:val="003C3E93"/>
    <w:rsid w:val="003D234E"/>
    <w:rsid w:val="003D7E49"/>
    <w:rsid w:val="003E2513"/>
    <w:rsid w:val="003E401A"/>
    <w:rsid w:val="003E5CCB"/>
    <w:rsid w:val="003E5FE7"/>
    <w:rsid w:val="003E7E11"/>
    <w:rsid w:val="003F4AE8"/>
    <w:rsid w:val="003F56BD"/>
    <w:rsid w:val="003F7498"/>
    <w:rsid w:val="004037BC"/>
    <w:rsid w:val="0040439C"/>
    <w:rsid w:val="00407285"/>
    <w:rsid w:val="004078CD"/>
    <w:rsid w:val="00411674"/>
    <w:rsid w:val="00412B4E"/>
    <w:rsid w:val="004135EB"/>
    <w:rsid w:val="00413AD0"/>
    <w:rsid w:val="00417388"/>
    <w:rsid w:val="004175CB"/>
    <w:rsid w:val="00422E68"/>
    <w:rsid w:val="00424C20"/>
    <w:rsid w:val="00427DA6"/>
    <w:rsid w:val="004303B0"/>
    <w:rsid w:val="00433D53"/>
    <w:rsid w:val="00436B3D"/>
    <w:rsid w:val="0044415E"/>
    <w:rsid w:val="00444871"/>
    <w:rsid w:val="00445764"/>
    <w:rsid w:val="00450DB3"/>
    <w:rsid w:val="0045208C"/>
    <w:rsid w:val="0045310D"/>
    <w:rsid w:val="00453B0E"/>
    <w:rsid w:val="004563F6"/>
    <w:rsid w:val="00456C8A"/>
    <w:rsid w:val="00457075"/>
    <w:rsid w:val="0046565B"/>
    <w:rsid w:val="004672E7"/>
    <w:rsid w:val="00470079"/>
    <w:rsid w:val="0047098E"/>
    <w:rsid w:val="00471F47"/>
    <w:rsid w:val="00480E97"/>
    <w:rsid w:val="00482363"/>
    <w:rsid w:val="00485596"/>
    <w:rsid w:val="00491F53"/>
    <w:rsid w:val="004A01E2"/>
    <w:rsid w:val="004A097B"/>
    <w:rsid w:val="004A6FCE"/>
    <w:rsid w:val="004B291B"/>
    <w:rsid w:val="004B77E4"/>
    <w:rsid w:val="004B7C8D"/>
    <w:rsid w:val="004C5A53"/>
    <w:rsid w:val="004D03EF"/>
    <w:rsid w:val="004D206F"/>
    <w:rsid w:val="004D6816"/>
    <w:rsid w:val="004F5E0B"/>
    <w:rsid w:val="004F6922"/>
    <w:rsid w:val="00505BD2"/>
    <w:rsid w:val="005067C2"/>
    <w:rsid w:val="00506954"/>
    <w:rsid w:val="00510CE8"/>
    <w:rsid w:val="005110E9"/>
    <w:rsid w:val="00513854"/>
    <w:rsid w:val="00514147"/>
    <w:rsid w:val="00515295"/>
    <w:rsid w:val="00516224"/>
    <w:rsid w:val="0051631A"/>
    <w:rsid w:val="00516607"/>
    <w:rsid w:val="00521B31"/>
    <w:rsid w:val="005226AF"/>
    <w:rsid w:val="005255D0"/>
    <w:rsid w:val="00531A21"/>
    <w:rsid w:val="00531A92"/>
    <w:rsid w:val="00531ABA"/>
    <w:rsid w:val="005344EA"/>
    <w:rsid w:val="005369CE"/>
    <w:rsid w:val="005369DB"/>
    <w:rsid w:val="0053735A"/>
    <w:rsid w:val="00542936"/>
    <w:rsid w:val="00543900"/>
    <w:rsid w:val="00547DA7"/>
    <w:rsid w:val="00555512"/>
    <w:rsid w:val="00562940"/>
    <w:rsid w:val="00566B1A"/>
    <w:rsid w:val="005708B2"/>
    <w:rsid w:val="00574DA6"/>
    <w:rsid w:val="0058615A"/>
    <w:rsid w:val="00591C8C"/>
    <w:rsid w:val="00592612"/>
    <w:rsid w:val="0059370D"/>
    <w:rsid w:val="0059437E"/>
    <w:rsid w:val="005949FF"/>
    <w:rsid w:val="00595A4B"/>
    <w:rsid w:val="005A7311"/>
    <w:rsid w:val="005A7985"/>
    <w:rsid w:val="005B31BE"/>
    <w:rsid w:val="005B3B25"/>
    <w:rsid w:val="005B580B"/>
    <w:rsid w:val="005B752C"/>
    <w:rsid w:val="005C070A"/>
    <w:rsid w:val="005C1C46"/>
    <w:rsid w:val="005C36ED"/>
    <w:rsid w:val="005C3D96"/>
    <w:rsid w:val="005D02F5"/>
    <w:rsid w:val="005D03F3"/>
    <w:rsid w:val="005D2061"/>
    <w:rsid w:val="005D449E"/>
    <w:rsid w:val="005D5A2B"/>
    <w:rsid w:val="005D71F1"/>
    <w:rsid w:val="005E01E2"/>
    <w:rsid w:val="005E06D3"/>
    <w:rsid w:val="005E0966"/>
    <w:rsid w:val="005E09E3"/>
    <w:rsid w:val="005E6097"/>
    <w:rsid w:val="005F24AE"/>
    <w:rsid w:val="005F2954"/>
    <w:rsid w:val="005F2C88"/>
    <w:rsid w:val="005F6752"/>
    <w:rsid w:val="005F7AB7"/>
    <w:rsid w:val="006015FC"/>
    <w:rsid w:val="006024E9"/>
    <w:rsid w:val="00610066"/>
    <w:rsid w:val="00614E43"/>
    <w:rsid w:val="006214A1"/>
    <w:rsid w:val="00621598"/>
    <w:rsid w:val="00633C87"/>
    <w:rsid w:val="00635296"/>
    <w:rsid w:val="00641F26"/>
    <w:rsid w:val="00643124"/>
    <w:rsid w:val="00646AFD"/>
    <w:rsid w:val="00650A92"/>
    <w:rsid w:val="006539D3"/>
    <w:rsid w:val="00654F97"/>
    <w:rsid w:val="006566A4"/>
    <w:rsid w:val="00662922"/>
    <w:rsid w:val="00673FA7"/>
    <w:rsid w:val="0067563C"/>
    <w:rsid w:val="00683130"/>
    <w:rsid w:val="00687077"/>
    <w:rsid w:val="00694A15"/>
    <w:rsid w:val="00695BC4"/>
    <w:rsid w:val="006965F5"/>
    <w:rsid w:val="006A01AA"/>
    <w:rsid w:val="006A16E4"/>
    <w:rsid w:val="006A1F74"/>
    <w:rsid w:val="006A2562"/>
    <w:rsid w:val="006A4DA2"/>
    <w:rsid w:val="006A5AC8"/>
    <w:rsid w:val="006B661B"/>
    <w:rsid w:val="006B770F"/>
    <w:rsid w:val="006C3411"/>
    <w:rsid w:val="006C51F2"/>
    <w:rsid w:val="006C6806"/>
    <w:rsid w:val="006D1CE6"/>
    <w:rsid w:val="006D5735"/>
    <w:rsid w:val="006D5B02"/>
    <w:rsid w:val="006E0823"/>
    <w:rsid w:val="006E4E45"/>
    <w:rsid w:val="006E4F5C"/>
    <w:rsid w:val="006E7AE0"/>
    <w:rsid w:val="006F2E58"/>
    <w:rsid w:val="006F308B"/>
    <w:rsid w:val="006F7155"/>
    <w:rsid w:val="00700D35"/>
    <w:rsid w:val="00703658"/>
    <w:rsid w:val="007068E0"/>
    <w:rsid w:val="00707ACB"/>
    <w:rsid w:val="00712019"/>
    <w:rsid w:val="007124E3"/>
    <w:rsid w:val="00715180"/>
    <w:rsid w:val="00715C32"/>
    <w:rsid w:val="00720498"/>
    <w:rsid w:val="007208E3"/>
    <w:rsid w:val="0072149A"/>
    <w:rsid w:val="00722FD6"/>
    <w:rsid w:val="0072448D"/>
    <w:rsid w:val="007265E8"/>
    <w:rsid w:val="00727AC1"/>
    <w:rsid w:val="00731D47"/>
    <w:rsid w:val="00734E47"/>
    <w:rsid w:val="0073629E"/>
    <w:rsid w:val="007414E8"/>
    <w:rsid w:val="007455F4"/>
    <w:rsid w:val="00747EC3"/>
    <w:rsid w:val="00751028"/>
    <w:rsid w:val="00752763"/>
    <w:rsid w:val="00754DBF"/>
    <w:rsid w:val="007605EC"/>
    <w:rsid w:val="00760946"/>
    <w:rsid w:val="00760B49"/>
    <w:rsid w:val="007655B9"/>
    <w:rsid w:val="0076565C"/>
    <w:rsid w:val="00765F0C"/>
    <w:rsid w:val="00772008"/>
    <w:rsid w:val="00773440"/>
    <w:rsid w:val="0077541F"/>
    <w:rsid w:val="00781B66"/>
    <w:rsid w:val="007828E7"/>
    <w:rsid w:val="00782976"/>
    <w:rsid w:val="00782CC1"/>
    <w:rsid w:val="00786564"/>
    <w:rsid w:val="007929D2"/>
    <w:rsid w:val="0079469B"/>
    <w:rsid w:val="007952BB"/>
    <w:rsid w:val="00795B03"/>
    <w:rsid w:val="007A0635"/>
    <w:rsid w:val="007A181B"/>
    <w:rsid w:val="007A1900"/>
    <w:rsid w:val="007A2967"/>
    <w:rsid w:val="007A30CB"/>
    <w:rsid w:val="007A5A22"/>
    <w:rsid w:val="007A63FA"/>
    <w:rsid w:val="007B3027"/>
    <w:rsid w:val="007B33F0"/>
    <w:rsid w:val="007B3C2D"/>
    <w:rsid w:val="007B65BD"/>
    <w:rsid w:val="007C442C"/>
    <w:rsid w:val="007C6AE1"/>
    <w:rsid w:val="007D2B8D"/>
    <w:rsid w:val="007E795D"/>
    <w:rsid w:val="007F02BC"/>
    <w:rsid w:val="007F1DAA"/>
    <w:rsid w:val="007F32BC"/>
    <w:rsid w:val="0081132C"/>
    <w:rsid w:val="0081334F"/>
    <w:rsid w:val="00814B23"/>
    <w:rsid w:val="00814C03"/>
    <w:rsid w:val="00815170"/>
    <w:rsid w:val="0082333F"/>
    <w:rsid w:val="00831DF6"/>
    <w:rsid w:val="00834923"/>
    <w:rsid w:val="00840316"/>
    <w:rsid w:val="00845CF5"/>
    <w:rsid w:val="008554C7"/>
    <w:rsid w:val="00862885"/>
    <w:rsid w:val="00872F80"/>
    <w:rsid w:val="0088445E"/>
    <w:rsid w:val="008861D5"/>
    <w:rsid w:val="0088642A"/>
    <w:rsid w:val="00894851"/>
    <w:rsid w:val="008966B8"/>
    <w:rsid w:val="00897A77"/>
    <w:rsid w:val="008A06A0"/>
    <w:rsid w:val="008A11D5"/>
    <w:rsid w:val="008A1299"/>
    <w:rsid w:val="008A5304"/>
    <w:rsid w:val="008B2B9A"/>
    <w:rsid w:val="008C6AF7"/>
    <w:rsid w:val="008C740B"/>
    <w:rsid w:val="008D1953"/>
    <w:rsid w:val="008D34F9"/>
    <w:rsid w:val="008D3BEE"/>
    <w:rsid w:val="008D69F4"/>
    <w:rsid w:val="008D7C94"/>
    <w:rsid w:val="008E2E3A"/>
    <w:rsid w:val="008E3A95"/>
    <w:rsid w:val="008E6093"/>
    <w:rsid w:val="008E62CE"/>
    <w:rsid w:val="008F2A0B"/>
    <w:rsid w:val="008F2BC6"/>
    <w:rsid w:val="008F3264"/>
    <w:rsid w:val="008F64F1"/>
    <w:rsid w:val="009001C9"/>
    <w:rsid w:val="00902958"/>
    <w:rsid w:val="00902A18"/>
    <w:rsid w:val="00903500"/>
    <w:rsid w:val="00911284"/>
    <w:rsid w:val="00911504"/>
    <w:rsid w:val="00916B33"/>
    <w:rsid w:val="00920B51"/>
    <w:rsid w:val="0092170F"/>
    <w:rsid w:val="00923B2B"/>
    <w:rsid w:val="0092409E"/>
    <w:rsid w:val="0092523F"/>
    <w:rsid w:val="00925643"/>
    <w:rsid w:val="00927137"/>
    <w:rsid w:val="009355F0"/>
    <w:rsid w:val="00935F8B"/>
    <w:rsid w:val="009362BF"/>
    <w:rsid w:val="00942AB3"/>
    <w:rsid w:val="00942FB0"/>
    <w:rsid w:val="0094695B"/>
    <w:rsid w:val="00946AC2"/>
    <w:rsid w:val="00947A67"/>
    <w:rsid w:val="009505B7"/>
    <w:rsid w:val="00950D99"/>
    <w:rsid w:val="009527A0"/>
    <w:rsid w:val="00960AE9"/>
    <w:rsid w:val="00965280"/>
    <w:rsid w:val="00970BF2"/>
    <w:rsid w:val="00971135"/>
    <w:rsid w:val="00972ED8"/>
    <w:rsid w:val="00975C48"/>
    <w:rsid w:val="0097655E"/>
    <w:rsid w:val="0097697F"/>
    <w:rsid w:val="00977756"/>
    <w:rsid w:val="00980987"/>
    <w:rsid w:val="009838F7"/>
    <w:rsid w:val="00990210"/>
    <w:rsid w:val="00990CAF"/>
    <w:rsid w:val="00992504"/>
    <w:rsid w:val="009975B9"/>
    <w:rsid w:val="009B0695"/>
    <w:rsid w:val="009B1BE6"/>
    <w:rsid w:val="009B2108"/>
    <w:rsid w:val="009B214A"/>
    <w:rsid w:val="009B3B28"/>
    <w:rsid w:val="009B5ED9"/>
    <w:rsid w:val="009B6F1F"/>
    <w:rsid w:val="009B72E8"/>
    <w:rsid w:val="009C0C03"/>
    <w:rsid w:val="009C1AA0"/>
    <w:rsid w:val="009C28F9"/>
    <w:rsid w:val="009C5700"/>
    <w:rsid w:val="009C737D"/>
    <w:rsid w:val="009D0EB3"/>
    <w:rsid w:val="009D0F82"/>
    <w:rsid w:val="009D7CA6"/>
    <w:rsid w:val="009E3C83"/>
    <w:rsid w:val="009F2F05"/>
    <w:rsid w:val="009F41B2"/>
    <w:rsid w:val="009F50C1"/>
    <w:rsid w:val="009F65C4"/>
    <w:rsid w:val="00A01712"/>
    <w:rsid w:val="00A038F5"/>
    <w:rsid w:val="00A065CB"/>
    <w:rsid w:val="00A10A78"/>
    <w:rsid w:val="00A10C18"/>
    <w:rsid w:val="00A10D73"/>
    <w:rsid w:val="00A116D0"/>
    <w:rsid w:val="00A1210E"/>
    <w:rsid w:val="00A15D02"/>
    <w:rsid w:val="00A16503"/>
    <w:rsid w:val="00A235C0"/>
    <w:rsid w:val="00A25E95"/>
    <w:rsid w:val="00A3008A"/>
    <w:rsid w:val="00A3035B"/>
    <w:rsid w:val="00A31D26"/>
    <w:rsid w:val="00A37A82"/>
    <w:rsid w:val="00A40BB7"/>
    <w:rsid w:val="00A41016"/>
    <w:rsid w:val="00A418C1"/>
    <w:rsid w:val="00A43BD4"/>
    <w:rsid w:val="00A442E1"/>
    <w:rsid w:val="00A4552C"/>
    <w:rsid w:val="00A470CF"/>
    <w:rsid w:val="00A47761"/>
    <w:rsid w:val="00A532BB"/>
    <w:rsid w:val="00A539F8"/>
    <w:rsid w:val="00A54BD5"/>
    <w:rsid w:val="00A558B1"/>
    <w:rsid w:val="00A62063"/>
    <w:rsid w:val="00A707DF"/>
    <w:rsid w:val="00A711CC"/>
    <w:rsid w:val="00A72ACB"/>
    <w:rsid w:val="00A80E15"/>
    <w:rsid w:val="00A84A4C"/>
    <w:rsid w:val="00A84FFB"/>
    <w:rsid w:val="00A8605E"/>
    <w:rsid w:val="00A87C40"/>
    <w:rsid w:val="00A87F4B"/>
    <w:rsid w:val="00A906F8"/>
    <w:rsid w:val="00A91D4E"/>
    <w:rsid w:val="00A93E93"/>
    <w:rsid w:val="00A943EC"/>
    <w:rsid w:val="00A943F5"/>
    <w:rsid w:val="00A94A37"/>
    <w:rsid w:val="00A95269"/>
    <w:rsid w:val="00AA3C00"/>
    <w:rsid w:val="00AA7974"/>
    <w:rsid w:val="00AB0463"/>
    <w:rsid w:val="00AB10FA"/>
    <w:rsid w:val="00AB4B60"/>
    <w:rsid w:val="00AB53AD"/>
    <w:rsid w:val="00AB7C75"/>
    <w:rsid w:val="00AC537E"/>
    <w:rsid w:val="00AD79BC"/>
    <w:rsid w:val="00AE3B55"/>
    <w:rsid w:val="00AE58FB"/>
    <w:rsid w:val="00AE649A"/>
    <w:rsid w:val="00AF0D3C"/>
    <w:rsid w:val="00AF1EC0"/>
    <w:rsid w:val="00AF55AF"/>
    <w:rsid w:val="00B02EB3"/>
    <w:rsid w:val="00B05642"/>
    <w:rsid w:val="00B061D3"/>
    <w:rsid w:val="00B0664D"/>
    <w:rsid w:val="00B0744E"/>
    <w:rsid w:val="00B11110"/>
    <w:rsid w:val="00B14A1A"/>
    <w:rsid w:val="00B22D4B"/>
    <w:rsid w:val="00B26033"/>
    <w:rsid w:val="00B26A32"/>
    <w:rsid w:val="00B2712E"/>
    <w:rsid w:val="00B344F9"/>
    <w:rsid w:val="00B34658"/>
    <w:rsid w:val="00B34F8C"/>
    <w:rsid w:val="00B40083"/>
    <w:rsid w:val="00B42090"/>
    <w:rsid w:val="00B43D66"/>
    <w:rsid w:val="00B46077"/>
    <w:rsid w:val="00B46735"/>
    <w:rsid w:val="00B5026C"/>
    <w:rsid w:val="00B50E2D"/>
    <w:rsid w:val="00B51028"/>
    <w:rsid w:val="00B533D7"/>
    <w:rsid w:val="00B53FB9"/>
    <w:rsid w:val="00B54594"/>
    <w:rsid w:val="00B54C59"/>
    <w:rsid w:val="00B573D6"/>
    <w:rsid w:val="00B6040E"/>
    <w:rsid w:val="00B60E65"/>
    <w:rsid w:val="00B6178A"/>
    <w:rsid w:val="00B62776"/>
    <w:rsid w:val="00B63DD1"/>
    <w:rsid w:val="00B70935"/>
    <w:rsid w:val="00B77EE8"/>
    <w:rsid w:val="00B80037"/>
    <w:rsid w:val="00B91ED9"/>
    <w:rsid w:val="00B942D4"/>
    <w:rsid w:val="00B94BE4"/>
    <w:rsid w:val="00B94DAB"/>
    <w:rsid w:val="00BA2A30"/>
    <w:rsid w:val="00BA3F19"/>
    <w:rsid w:val="00BA4A94"/>
    <w:rsid w:val="00BA6F8B"/>
    <w:rsid w:val="00BB12B1"/>
    <w:rsid w:val="00BB1741"/>
    <w:rsid w:val="00BB37F7"/>
    <w:rsid w:val="00BB56CD"/>
    <w:rsid w:val="00BB657A"/>
    <w:rsid w:val="00BC054B"/>
    <w:rsid w:val="00BC1BAF"/>
    <w:rsid w:val="00BC46EE"/>
    <w:rsid w:val="00BD1C76"/>
    <w:rsid w:val="00BD1CCA"/>
    <w:rsid w:val="00BD47F2"/>
    <w:rsid w:val="00BD613E"/>
    <w:rsid w:val="00BD683A"/>
    <w:rsid w:val="00BE59CF"/>
    <w:rsid w:val="00BF25B2"/>
    <w:rsid w:val="00BF69F5"/>
    <w:rsid w:val="00C020B7"/>
    <w:rsid w:val="00C07461"/>
    <w:rsid w:val="00C11ADC"/>
    <w:rsid w:val="00C13184"/>
    <w:rsid w:val="00C2003D"/>
    <w:rsid w:val="00C204B7"/>
    <w:rsid w:val="00C209B7"/>
    <w:rsid w:val="00C24F3D"/>
    <w:rsid w:val="00C3200A"/>
    <w:rsid w:val="00C3274E"/>
    <w:rsid w:val="00C3308B"/>
    <w:rsid w:val="00C332C5"/>
    <w:rsid w:val="00C3393D"/>
    <w:rsid w:val="00C34370"/>
    <w:rsid w:val="00C367AC"/>
    <w:rsid w:val="00C37103"/>
    <w:rsid w:val="00C406A2"/>
    <w:rsid w:val="00C425CC"/>
    <w:rsid w:val="00C42BD3"/>
    <w:rsid w:val="00C46DD1"/>
    <w:rsid w:val="00C5138A"/>
    <w:rsid w:val="00C52468"/>
    <w:rsid w:val="00C54964"/>
    <w:rsid w:val="00C72804"/>
    <w:rsid w:val="00C80EAC"/>
    <w:rsid w:val="00C8104D"/>
    <w:rsid w:val="00C83783"/>
    <w:rsid w:val="00C837B6"/>
    <w:rsid w:val="00C87D6D"/>
    <w:rsid w:val="00C9046C"/>
    <w:rsid w:val="00C92259"/>
    <w:rsid w:val="00C926D4"/>
    <w:rsid w:val="00C957C8"/>
    <w:rsid w:val="00C96233"/>
    <w:rsid w:val="00C962D7"/>
    <w:rsid w:val="00CA2DD1"/>
    <w:rsid w:val="00CA35C4"/>
    <w:rsid w:val="00CA3B23"/>
    <w:rsid w:val="00CA5824"/>
    <w:rsid w:val="00CA5EA4"/>
    <w:rsid w:val="00CB0270"/>
    <w:rsid w:val="00CB4778"/>
    <w:rsid w:val="00CB7622"/>
    <w:rsid w:val="00CC0C65"/>
    <w:rsid w:val="00CC3A8D"/>
    <w:rsid w:val="00CD0BA5"/>
    <w:rsid w:val="00CD4553"/>
    <w:rsid w:val="00CD4631"/>
    <w:rsid w:val="00CD4CA4"/>
    <w:rsid w:val="00CD583F"/>
    <w:rsid w:val="00CE25DF"/>
    <w:rsid w:val="00CE4208"/>
    <w:rsid w:val="00CE6C1D"/>
    <w:rsid w:val="00CE70B5"/>
    <w:rsid w:val="00CF5827"/>
    <w:rsid w:val="00CF6AEF"/>
    <w:rsid w:val="00D00C3C"/>
    <w:rsid w:val="00D20118"/>
    <w:rsid w:val="00D20DF6"/>
    <w:rsid w:val="00D21D6D"/>
    <w:rsid w:val="00D23B89"/>
    <w:rsid w:val="00D33C3A"/>
    <w:rsid w:val="00D3654E"/>
    <w:rsid w:val="00D36B93"/>
    <w:rsid w:val="00D406CC"/>
    <w:rsid w:val="00D41ABD"/>
    <w:rsid w:val="00D429B1"/>
    <w:rsid w:val="00D4433C"/>
    <w:rsid w:val="00D47B34"/>
    <w:rsid w:val="00D529FA"/>
    <w:rsid w:val="00D6349A"/>
    <w:rsid w:val="00D63B91"/>
    <w:rsid w:val="00D64C0D"/>
    <w:rsid w:val="00D65CFD"/>
    <w:rsid w:val="00D67F71"/>
    <w:rsid w:val="00D72602"/>
    <w:rsid w:val="00D751A5"/>
    <w:rsid w:val="00D76A2A"/>
    <w:rsid w:val="00D84A50"/>
    <w:rsid w:val="00D86630"/>
    <w:rsid w:val="00D867E0"/>
    <w:rsid w:val="00D87AC8"/>
    <w:rsid w:val="00D921F2"/>
    <w:rsid w:val="00D95509"/>
    <w:rsid w:val="00D962E9"/>
    <w:rsid w:val="00D97B28"/>
    <w:rsid w:val="00DA10F4"/>
    <w:rsid w:val="00DA11E5"/>
    <w:rsid w:val="00DA6514"/>
    <w:rsid w:val="00DA663B"/>
    <w:rsid w:val="00DB28D6"/>
    <w:rsid w:val="00DB7FD0"/>
    <w:rsid w:val="00DC320E"/>
    <w:rsid w:val="00DC4442"/>
    <w:rsid w:val="00DC4D8B"/>
    <w:rsid w:val="00DC6F4A"/>
    <w:rsid w:val="00DC7E0E"/>
    <w:rsid w:val="00DD23E8"/>
    <w:rsid w:val="00DD4EDE"/>
    <w:rsid w:val="00DD50F2"/>
    <w:rsid w:val="00DD61A3"/>
    <w:rsid w:val="00DE0026"/>
    <w:rsid w:val="00DE0167"/>
    <w:rsid w:val="00DE6E28"/>
    <w:rsid w:val="00E0552A"/>
    <w:rsid w:val="00E102CD"/>
    <w:rsid w:val="00E102E0"/>
    <w:rsid w:val="00E105D7"/>
    <w:rsid w:val="00E14435"/>
    <w:rsid w:val="00E17C2A"/>
    <w:rsid w:val="00E240C4"/>
    <w:rsid w:val="00E259D0"/>
    <w:rsid w:val="00E26399"/>
    <w:rsid w:val="00E31704"/>
    <w:rsid w:val="00E3494B"/>
    <w:rsid w:val="00E35D43"/>
    <w:rsid w:val="00E40099"/>
    <w:rsid w:val="00E415AE"/>
    <w:rsid w:val="00E42882"/>
    <w:rsid w:val="00E45788"/>
    <w:rsid w:val="00E47D09"/>
    <w:rsid w:val="00E50610"/>
    <w:rsid w:val="00E52031"/>
    <w:rsid w:val="00E521FC"/>
    <w:rsid w:val="00E6291B"/>
    <w:rsid w:val="00E633C7"/>
    <w:rsid w:val="00E674B5"/>
    <w:rsid w:val="00E67F6F"/>
    <w:rsid w:val="00E7147E"/>
    <w:rsid w:val="00E735C7"/>
    <w:rsid w:val="00E73686"/>
    <w:rsid w:val="00E74399"/>
    <w:rsid w:val="00E85249"/>
    <w:rsid w:val="00E948FC"/>
    <w:rsid w:val="00E9591C"/>
    <w:rsid w:val="00E96529"/>
    <w:rsid w:val="00EA339E"/>
    <w:rsid w:val="00EA5696"/>
    <w:rsid w:val="00EA663E"/>
    <w:rsid w:val="00EB4CF4"/>
    <w:rsid w:val="00EB7E76"/>
    <w:rsid w:val="00EC05A0"/>
    <w:rsid w:val="00EC2FC9"/>
    <w:rsid w:val="00EC4A89"/>
    <w:rsid w:val="00EC5212"/>
    <w:rsid w:val="00EC7D8C"/>
    <w:rsid w:val="00ED188E"/>
    <w:rsid w:val="00ED36C2"/>
    <w:rsid w:val="00ED4A06"/>
    <w:rsid w:val="00ED5C79"/>
    <w:rsid w:val="00ED691A"/>
    <w:rsid w:val="00ED7E5D"/>
    <w:rsid w:val="00EE1516"/>
    <w:rsid w:val="00EE43B9"/>
    <w:rsid w:val="00EF1ED1"/>
    <w:rsid w:val="00EF3544"/>
    <w:rsid w:val="00EF475F"/>
    <w:rsid w:val="00EF5A87"/>
    <w:rsid w:val="00EF5CF7"/>
    <w:rsid w:val="00F006A8"/>
    <w:rsid w:val="00F01AD3"/>
    <w:rsid w:val="00F03202"/>
    <w:rsid w:val="00F05987"/>
    <w:rsid w:val="00F15418"/>
    <w:rsid w:val="00F17596"/>
    <w:rsid w:val="00F1769F"/>
    <w:rsid w:val="00F2006D"/>
    <w:rsid w:val="00F208C2"/>
    <w:rsid w:val="00F20A81"/>
    <w:rsid w:val="00F22E27"/>
    <w:rsid w:val="00F24D66"/>
    <w:rsid w:val="00F2562C"/>
    <w:rsid w:val="00F2737C"/>
    <w:rsid w:val="00F323DE"/>
    <w:rsid w:val="00F37D08"/>
    <w:rsid w:val="00F37E85"/>
    <w:rsid w:val="00F4167A"/>
    <w:rsid w:val="00F449B5"/>
    <w:rsid w:val="00F50DA7"/>
    <w:rsid w:val="00F53E3A"/>
    <w:rsid w:val="00F6005B"/>
    <w:rsid w:val="00F6492A"/>
    <w:rsid w:val="00F6587D"/>
    <w:rsid w:val="00F677F7"/>
    <w:rsid w:val="00F67982"/>
    <w:rsid w:val="00F70ED9"/>
    <w:rsid w:val="00F73767"/>
    <w:rsid w:val="00F8189E"/>
    <w:rsid w:val="00F84BA9"/>
    <w:rsid w:val="00F92F1E"/>
    <w:rsid w:val="00F942F3"/>
    <w:rsid w:val="00F96244"/>
    <w:rsid w:val="00F968D7"/>
    <w:rsid w:val="00F976C5"/>
    <w:rsid w:val="00FB1C26"/>
    <w:rsid w:val="00FB219D"/>
    <w:rsid w:val="00FB2B42"/>
    <w:rsid w:val="00FB67A6"/>
    <w:rsid w:val="00FB6A76"/>
    <w:rsid w:val="00FC0BE3"/>
    <w:rsid w:val="00FD11EE"/>
    <w:rsid w:val="00FD55D5"/>
    <w:rsid w:val="00FE1AD8"/>
    <w:rsid w:val="00FE284A"/>
    <w:rsid w:val="00FE32BC"/>
    <w:rsid w:val="00FF224C"/>
    <w:rsid w:val="01570814"/>
    <w:rsid w:val="01787946"/>
    <w:rsid w:val="01825579"/>
    <w:rsid w:val="01EF65C5"/>
    <w:rsid w:val="02497534"/>
    <w:rsid w:val="028D7421"/>
    <w:rsid w:val="03762364"/>
    <w:rsid w:val="03BB36D9"/>
    <w:rsid w:val="042C21E3"/>
    <w:rsid w:val="0431202E"/>
    <w:rsid w:val="059211F2"/>
    <w:rsid w:val="0687687D"/>
    <w:rsid w:val="08494018"/>
    <w:rsid w:val="0C9910B8"/>
    <w:rsid w:val="0DE34399"/>
    <w:rsid w:val="0E082052"/>
    <w:rsid w:val="0E707BF7"/>
    <w:rsid w:val="0E8A4AD4"/>
    <w:rsid w:val="0F263116"/>
    <w:rsid w:val="0F5340F4"/>
    <w:rsid w:val="101747CE"/>
    <w:rsid w:val="102B2027"/>
    <w:rsid w:val="10666866"/>
    <w:rsid w:val="13143247"/>
    <w:rsid w:val="1340403C"/>
    <w:rsid w:val="14755F67"/>
    <w:rsid w:val="14FE7D0A"/>
    <w:rsid w:val="15F92071"/>
    <w:rsid w:val="169D3553"/>
    <w:rsid w:val="16F70EB5"/>
    <w:rsid w:val="183A72AB"/>
    <w:rsid w:val="18566408"/>
    <w:rsid w:val="1A02204B"/>
    <w:rsid w:val="1A937147"/>
    <w:rsid w:val="1B575140"/>
    <w:rsid w:val="1C3123B9"/>
    <w:rsid w:val="1EF74165"/>
    <w:rsid w:val="1FB97650"/>
    <w:rsid w:val="2057295E"/>
    <w:rsid w:val="2103657D"/>
    <w:rsid w:val="212B00D9"/>
    <w:rsid w:val="220B46A2"/>
    <w:rsid w:val="2221062C"/>
    <w:rsid w:val="2649655F"/>
    <w:rsid w:val="27F6414C"/>
    <w:rsid w:val="28A0619E"/>
    <w:rsid w:val="29557BF7"/>
    <w:rsid w:val="2A607742"/>
    <w:rsid w:val="2AF9054C"/>
    <w:rsid w:val="2D8D3ECA"/>
    <w:rsid w:val="2DB11966"/>
    <w:rsid w:val="2FD22833"/>
    <w:rsid w:val="300B7175"/>
    <w:rsid w:val="33374AC4"/>
    <w:rsid w:val="36E64426"/>
    <w:rsid w:val="37101948"/>
    <w:rsid w:val="371177BA"/>
    <w:rsid w:val="3AD14283"/>
    <w:rsid w:val="3B273268"/>
    <w:rsid w:val="3BB6331E"/>
    <w:rsid w:val="3CB74ABF"/>
    <w:rsid w:val="3D0F66A9"/>
    <w:rsid w:val="3D4F6AA6"/>
    <w:rsid w:val="3EB219E2"/>
    <w:rsid w:val="3F9133A5"/>
    <w:rsid w:val="405E034B"/>
    <w:rsid w:val="40B67240"/>
    <w:rsid w:val="41C00111"/>
    <w:rsid w:val="41D0147A"/>
    <w:rsid w:val="434E436F"/>
    <w:rsid w:val="447C2876"/>
    <w:rsid w:val="45515CDD"/>
    <w:rsid w:val="45AC0F39"/>
    <w:rsid w:val="46BA1434"/>
    <w:rsid w:val="46BC6448"/>
    <w:rsid w:val="470D72FC"/>
    <w:rsid w:val="47413903"/>
    <w:rsid w:val="4850455A"/>
    <w:rsid w:val="493F02A0"/>
    <w:rsid w:val="49A37790"/>
    <w:rsid w:val="49EC1C37"/>
    <w:rsid w:val="4B8B15F1"/>
    <w:rsid w:val="4CF431C6"/>
    <w:rsid w:val="4DC4703C"/>
    <w:rsid w:val="4DF0434D"/>
    <w:rsid w:val="4E6C161A"/>
    <w:rsid w:val="4F404F69"/>
    <w:rsid w:val="502A41CA"/>
    <w:rsid w:val="507059EF"/>
    <w:rsid w:val="517B3EB5"/>
    <w:rsid w:val="51C36092"/>
    <w:rsid w:val="5326436F"/>
    <w:rsid w:val="54594C92"/>
    <w:rsid w:val="546614DC"/>
    <w:rsid w:val="554D5B69"/>
    <w:rsid w:val="568832FC"/>
    <w:rsid w:val="56B5345E"/>
    <w:rsid w:val="571D4B7A"/>
    <w:rsid w:val="57B32A0E"/>
    <w:rsid w:val="5AB44CC5"/>
    <w:rsid w:val="5AC515F1"/>
    <w:rsid w:val="5B8277C0"/>
    <w:rsid w:val="5B953DC6"/>
    <w:rsid w:val="5DE3047A"/>
    <w:rsid w:val="5F3D27AA"/>
    <w:rsid w:val="60F11A9E"/>
    <w:rsid w:val="61AF3E33"/>
    <w:rsid w:val="64243F39"/>
    <w:rsid w:val="65E26F3D"/>
    <w:rsid w:val="661D02A1"/>
    <w:rsid w:val="66C51A03"/>
    <w:rsid w:val="68725BBA"/>
    <w:rsid w:val="68AE3E4B"/>
    <w:rsid w:val="6A7C382A"/>
    <w:rsid w:val="6B014FD4"/>
    <w:rsid w:val="6C133210"/>
    <w:rsid w:val="6CB322FE"/>
    <w:rsid w:val="6D7101EF"/>
    <w:rsid w:val="6DF5784D"/>
    <w:rsid w:val="704679F6"/>
    <w:rsid w:val="70D016D0"/>
    <w:rsid w:val="71706A0F"/>
    <w:rsid w:val="71D3027E"/>
    <w:rsid w:val="71E80C9B"/>
    <w:rsid w:val="74C90910"/>
    <w:rsid w:val="758067FF"/>
    <w:rsid w:val="75BA64AB"/>
    <w:rsid w:val="762A6205"/>
    <w:rsid w:val="77012094"/>
    <w:rsid w:val="77CF7C33"/>
    <w:rsid w:val="79C773E8"/>
    <w:rsid w:val="7B784E3E"/>
    <w:rsid w:val="7BBC71F0"/>
    <w:rsid w:val="7CC002E6"/>
    <w:rsid w:val="7DC413EC"/>
    <w:rsid w:val="7DF406C0"/>
    <w:rsid w:val="7F127E34"/>
    <w:rsid w:val="7F9F3B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BB15906"/>
  <w14:defaultImageDpi w14:val="32767"/>
  <w15:docId w15:val="{C7C4BBD2-0401-4365-B21D-8283B26F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6">
    <w:name w:val="heading 6"/>
    <w:basedOn w:val="a"/>
    <w:next w:val="a"/>
    <w:link w:val="60"/>
    <w:uiPriority w:val="9"/>
    <w:unhideWhenUsed/>
    <w:qFormat/>
    <w:pPr>
      <w:ind w:left="101"/>
      <w:jc w:val="left"/>
      <w:outlineLvl w:val="5"/>
    </w:pPr>
    <w:rPr>
      <w:rFonts w:ascii="微软雅黑" w:eastAsia="微软雅黑" w:hAnsi="微软雅黑"/>
      <w:b/>
      <w:bCs/>
      <w:kern w:val="0"/>
      <w:sz w:val="28"/>
      <w:szCs w:val="28"/>
      <w:lang w:eastAsia="en-US"/>
    </w:rPr>
  </w:style>
  <w:style w:type="paragraph" w:styleId="7">
    <w:name w:val="heading 7"/>
    <w:basedOn w:val="a"/>
    <w:next w:val="a"/>
    <w:link w:val="70"/>
    <w:uiPriority w:val="1"/>
    <w:qFormat/>
    <w:pPr>
      <w:ind w:left="101"/>
      <w:jc w:val="left"/>
      <w:outlineLvl w:val="6"/>
    </w:pPr>
    <w:rPr>
      <w:rFonts w:ascii="Times New Roman" w:eastAsia="Times New Roman" w:hAnsi="Times New Roman"/>
      <w:b/>
      <w:bCs/>
      <w:kern w:val="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uiPriority w:val="1"/>
    <w:qFormat/>
    <w:pPr>
      <w:spacing w:before="157" w:line="360" w:lineRule="auto"/>
      <w:ind w:left="102"/>
      <w:jc w:val="left"/>
    </w:pPr>
    <w:rPr>
      <w:rFonts w:ascii="楷体" w:eastAsia="楷体" w:hAnsi="楷体"/>
      <w:kern w:val="0"/>
      <w:szCs w:val="24"/>
      <w:lang w:eastAsia="en-US"/>
    </w:r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annotation text"/>
    <w:basedOn w:val="a"/>
    <w:link w:val="a7"/>
    <w:uiPriority w:val="99"/>
    <w:semiHidden/>
    <w:unhideWhenUsed/>
    <w:qFormat/>
    <w:pPr>
      <w:jc w:val="left"/>
    </w:p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8">
    <w:name w:val="Balloon Text"/>
    <w:basedOn w:val="a"/>
    <w:link w:val="a9"/>
    <w:uiPriority w:val="99"/>
    <w:semiHidden/>
    <w:unhideWhenUsed/>
    <w:qFormat/>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e">
    <w:name w:val="Subtitle"/>
    <w:basedOn w:val="a"/>
    <w:next w:val="a"/>
    <w:link w:val="af"/>
    <w:uiPriority w:val="11"/>
    <w:qFormat/>
    <w:pPr>
      <w:spacing w:before="240" w:after="60" w:line="312" w:lineRule="auto"/>
      <w:jc w:val="center"/>
      <w:outlineLvl w:val="1"/>
    </w:pPr>
    <w:rPr>
      <w:b/>
      <w:bCs/>
      <w:kern w:val="28"/>
      <w:sz w:val="32"/>
      <w:szCs w:val="32"/>
    </w:rPr>
  </w:style>
  <w:style w:type="paragraph" w:styleId="TOC2">
    <w:name w:val="toc 2"/>
    <w:basedOn w:val="a"/>
    <w:next w:val="a"/>
    <w:uiPriority w:val="39"/>
    <w:unhideWhenUsed/>
    <w:qFormat/>
    <w:pPr>
      <w:ind w:leftChars="200" w:left="420"/>
    </w:pPr>
  </w:style>
  <w:style w:type="paragraph" w:styleId="af0">
    <w:name w:val="annotation subject"/>
    <w:basedOn w:val="a6"/>
    <w:next w:val="a6"/>
    <w:link w:val="af1"/>
    <w:uiPriority w:val="99"/>
    <w:semiHidden/>
    <w:unhideWhenUsed/>
    <w:qFormat/>
    <w:rPr>
      <w:b/>
      <w:bCs/>
    </w:rPr>
  </w:style>
  <w:style w:type="table" w:styleId="af2">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1"/>
    <w:uiPriority w:val="99"/>
    <w:unhideWhenUsed/>
    <w:qFormat/>
    <w:rPr>
      <w:color w:val="0563C1" w:themeColor="hyperlink"/>
      <w:u w:val="single"/>
    </w:rPr>
  </w:style>
  <w:style w:type="character" w:styleId="af4">
    <w:name w:val="annotation reference"/>
    <w:basedOn w:val="a1"/>
    <w:uiPriority w:val="99"/>
    <w:semiHidden/>
    <w:unhideWhenUsed/>
    <w:qFormat/>
    <w:rPr>
      <w:sz w:val="21"/>
      <w:szCs w:val="21"/>
    </w:rPr>
  </w:style>
  <w:style w:type="character" w:customStyle="1" w:styleId="ad">
    <w:name w:val="页眉 字符"/>
    <w:basedOn w:val="a1"/>
    <w:link w:val="ac"/>
    <w:qFormat/>
    <w:rPr>
      <w:sz w:val="18"/>
      <w:szCs w:val="18"/>
    </w:rPr>
  </w:style>
  <w:style w:type="character" w:customStyle="1" w:styleId="ab">
    <w:name w:val="页脚 字符"/>
    <w:basedOn w:val="a1"/>
    <w:link w:val="aa"/>
    <w:qFormat/>
    <w:rPr>
      <w:sz w:val="18"/>
      <w:szCs w:val="18"/>
    </w:rPr>
  </w:style>
  <w:style w:type="character" w:customStyle="1" w:styleId="10">
    <w:name w:val="标题 1 字符"/>
    <w:basedOn w:val="a1"/>
    <w:link w:val="1"/>
    <w:qFormat/>
    <w:rPr>
      <w:b/>
      <w:bCs/>
      <w:kern w:val="44"/>
      <w:sz w:val="44"/>
      <w:szCs w:val="44"/>
    </w:rPr>
  </w:style>
  <w:style w:type="character" w:customStyle="1" w:styleId="af">
    <w:name w:val="副标题 字符"/>
    <w:basedOn w:val="a1"/>
    <w:link w:val="ae"/>
    <w:uiPriority w:val="11"/>
    <w:qFormat/>
    <w:rPr>
      <w:b/>
      <w:bCs/>
      <w:kern w:val="28"/>
      <w:sz w:val="32"/>
      <w:szCs w:val="32"/>
    </w:rPr>
  </w:style>
  <w:style w:type="paragraph" w:styleId="af5">
    <w:name w:val="List Paragraph"/>
    <w:basedOn w:val="a"/>
    <w:uiPriority w:val="34"/>
    <w:qFormat/>
    <w:pPr>
      <w:ind w:firstLineChars="200" w:firstLine="420"/>
    </w:pPr>
  </w:style>
  <w:style w:type="character" w:customStyle="1" w:styleId="a7">
    <w:name w:val="批注文字 字符"/>
    <w:basedOn w:val="a1"/>
    <w:link w:val="a6"/>
    <w:uiPriority w:val="99"/>
    <w:semiHidden/>
    <w:qFormat/>
    <w:rPr>
      <w:sz w:val="24"/>
    </w:rPr>
  </w:style>
  <w:style w:type="character" w:customStyle="1" w:styleId="af1">
    <w:name w:val="批注主题 字符"/>
    <w:basedOn w:val="a7"/>
    <w:link w:val="af0"/>
    <w:uiPriority w:val="99"/>
    <w:semiHidden/>
    <w:qFormat/>
    <w:rPr>
      <w:b/>
      <w:bCs/>
      <w:sz w:val="24"/>
    </w:rPr>
  </w:style>
  <w:style w:type="character" w:customStyle="1" w:styleId="60">
    <w:name w:val="标题 6 字符"/>
    <w:basedOn w:val="a1"/>
    <w:link w:val="6"/>
    <w:uiPriority w:val="9"/>
    <w:qFormat/>
    <w:rPr>
      <w:rFonts w:ascii="微软雅黑" w:eastAsia="微软雅黑" w:hAnsi="微软雅黑"/>
      <w:b/>
      <w:bCs/>
      <w:kern w:val="0"/>
      <w:sz w:val="28"/>
      <w:szCs w:val="28"/>
      <w:lang w:eastAsia="en-US"/>
    </w:rPr>
  </w:style>
  <w:style w:type="character" w:customStyle="1" w:styleId="70">
    <w:name w:val="标题 7 字符"/>
    <w:basedOn w:val="a1"/>
    <w:link w:val="7"/>
    <w:uiPriority w:val="1"/>
    <w:qFormat/>
    <w:rPr>
      <w:rFonts w:ascii="Times New Roman" w:eastAsia="Times New Roman" w:hAnsi="Times New Roman"/>
      <w:b/>
      <w:bCs/>
      <w:kern w:val="0"/>
      <w:sz w:val="24"/>
      <w:szCs w:val="24"/>
      <w:lang w:eastAsia="en-US"/>
    </w:rPr>
  </w:style>
  <w:style w:type="character" w:customStyle="1" w:styleId="a4">
    <w:name w:val="正文文本 字符"/>
    <w:basedOn w:val="a1"/>
    <w:link w:val="a0"/>
    <w:uiPriority w:val="1"/>
    <w:qFormat/>
    <w:rPr>
      <w:rFonts w:ascii="楷体" w:eastAsia="楷体" w:hAnsi="楷体"/>
      <w:sz w:val="24"/>
      <w:szCs w:val="24"/>
      <w:lang w:eastAsia="en-US"/>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11">
    <w:name w:val="网格型浅色1"/>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无格式表格 41"/>
    <w:basedOn w:val="a2"/>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无格式表格 11"/>
    <w:basedOn w:val="a2"/>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6">
    <w:name w:val="三线表"/>
    <w:basedOn w:val="a2"/>
    <w:uiPriority w:val="99"/>
    <w:qFormat/>
    <w:pPr>
      <w:jc w:val="center"/>
    </w:pPr>
    <w:rPr>
      <w:kern w:val="2"/>
      <w:sz w:val="21"/>
      <w:szCs w:val="22"/>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30">
    <w:name w:val="TOC 标题3"/>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23">
    <w:name w:val="网格型浅色2"/>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无格式表格 42"/>
    <w:basedOn w:val="a2"/>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无格式表格 12"/>
    <w:basedOn w:val="a2"/>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标题 3 字符"/>
    <w:basedOn w:val="a1"/>
    <w:link w:val="3"/>
    <w:uiPriority w:val="9"/>
    <w:semiHidden/>
    <w:qFormat/>
    <w:rPr>
      <w:b/>
      <w:bCs/>
      <w:kern w:val="2"/>
      <w:sz w:val="32"/>
      <w:szCs w:val="32"/>
    </w:rPr>
  </w:style>
  <w:style w:type="character" w:customStyle="1" w:styleId="20">
    <w:name w:val="标题 2 字符"/>
    <w:basedOn w:val="a1"/>
    <w:link w:val="2"/>
    <w:uiPriority w:val="9"/>
    <w:semiHidden/>
    <w:qFormat/>
    <w:rPr>
      <w:rFonts w:asciiTheme="majorHAnsi" w:eastAsiaTheme="majorEastAsia" w:hAnsiTheme="majorHAnsi" w:cstheme="majorBidi"/>
      <w:b/>
      <w:bCs/>
      <w:kern w:val="2"/>
      <w:sz w:val="32"/>
      <w:szCs w:val="32"/>
    </w:rPr>
  </w:style>
  <w:style w:type="table" w:customStyle="1" w:styleId="TableGrid">
    <w:name w:val="TableGrid"/>
    <w:qFormat/>
    <w:tblPr>
      <w:tblCellMar>
        <w:top w:w="0" w:type="dxa"/>
        <w:left w:w="0" w:type="dxa"/>
        <w:bottom w:w="0" w:type="dxa"/>
        <w:right w:w="0" w:type="dxa"/>
      </w:tblCellMar>
    </w:tblPr>
  </w:style>
  <w:style w:type="character" w:customStyle="1" w:styleId="a9">
    <w:name w:val="批注框文本 字符"/>
    <w:basedOn w:val="a1"/>
    <w:link w:val="a8"/>
    <w:uiPriority w:val="99"/>
    <w:semiHidden/>
    <w:qFormat/>
    <w:rPr>
      <w:rFonts w:asciiTheme="minorHAnsi" w:eastAsiaTheme="minorEastAsia" w:hAnsiTheme="minorHAnsi" w:cstheme="minorBidi"/>
      <w:kern w:val="2"/>
      <w:sz w:val="18"/>
      <w:szCs w:val="18"/>
    </w:rPr>
  </w:style>
  <w:style w:type="paragraph" w:customStyle="1" w:styleId="13">
    <w:name w:val="修订1"/>
    <w:hidden/>
    <w:uiPriority w:val="99"/>
    <w:unhideWhenUsed/>
    <w:qFormat/>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B20754D-A949-47D1-AB7D-0B0B8236ED0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2652</Words>
  <Characters>3050</Characters>
  <Application>Microsoft Office Word</Application>
  <DocSecurity>0</DocSecurity>
  <Lines>169</Lines>
  <Paragraphs>183</Paragraphs>
  <ScaleCrop>false</ScaleCrop>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huangzhi</cp:lastModifiedBy>
  <cp:revision>3</cp:revision>
  <cp:lastPrinted>2024-01-05T07:50:00Z</cp:lastPrinted>
  <dcterms:created xsi:type="dcterms:W3CDTF">2024-01-06T01:46:00Z</dcterms:created>
  <dcterms:modified xsi:type="dcterms:W3CDTF">2024-11-17T15:13:00Z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B14B78BDFC4A447F87CB0325315AE205_13</vt:lpwstr>
  </property>
  <property fmtid="{D5CDD505-2E9C-101B-9397-08002B2CF9AE}" pid="4" name="AMWinEqns">
    <vt:bool>true</vt:bool>
  </property>
  <property fmtid="{D5CDD505-2E9C-101B-9397-08002B2CF9AE}" pid="5" name="GrammarlyDocumentId">
    <vt:lpwstr>df02eebbe92f3a73e085d66d211505722e25ad3d05c8853bc9d0aa5887a86a0d</vt:lpwstr>
  </property>
</Properties>
</file>