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87F5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textAlignment w:val="auto"/>
        <w:outlineLvl w:val="0"/>
        <w:rPr>
          <w:rFonts w:ascii="Times New Roman"/>
          <w:color w:val="000000"/>
        </w:rPr>
      </w:pPr>
      <w:r>
        <w:rPr>
          <w:rFonts w:hint="eastAsia" w:ascii="Times New Roman"/>
          <w:bCs w:val="0"/>
          <w:color w:val="000000"/>
          <w:sz w:val="44"/>
          <w:lang w:val="en-US" w:eastAsia="zh-CN"/>
        </w:rPr>
        <w:t>智能会计微</w:t>
      </w:r>
      <w:r>
        <w:rPr>
          <w:rFonts w:ascii="Times New Roman"/>
          <w:color w:val="000000"/>
        </w:rPr>
        <w:t>专业</w:t>
      </w:r>
      <w:r>
        <w:rPr>
          <w:rFonts w:hint="eastAsia" w:ascii="Times New Roman"/>
          <w:color w:val="000000"/>
          <w:lang w:val="en-US" w:eastAsia="zh-CN"/>
        </w:rPr>
        <w:t>人才</w:t>
      </w:r>
      <w:r>
        <w:rPr>
          <w:rFonts w:ascii="Times New Roman"/>
          <w:color w:val="000000"/>
        </w:rPr>
        <w:t>培养方案</w:t>
      </w:r>
    </w:p>
    <w:p w14:paraId="3F1166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exact"/>
        <w:jc w:val="center"/>
        <w:textAlignment w:val="auto"/>
        <w:rPr>
          <w:rFonts w:hint="eastAsia" w:ascii="Times New Roman" w:eastAsia="黑体" w:hAnsiTheme="minorHAnsi" w:cstheme="minorBidi"/>
          <w:bCs w:val="0"/>
          <w:color w:val="000000"/>
          <w:kern w:val="2"/>
          <w:sz w:val="44"/>
          <w:szCs w:val="44"/>
          <w:lang w:val="en-US" w:eastAsia="zh-CN" w:bidi="ar-SA"/>
        </w:rPr>
      </w:pPr>
      <w:r>
        <w:rPr>
          <w:rFonts w:hint="eastAsia" w:ascii="Times New Roman" w:eastAsia="黑体" w:hAnsiTheme="minorHAnsi" w:cstheme="minorBidi"/>
          <w:bCs w:val="0"/>
          <w:color w:val="000000"/>
          <w:kern w:val="2"/>
          <w:sz w:val="44"/>
          <w:szCs w:val="44"/>
          <w:lang w:val="en-US" w:eastAsia="zh-CN" w:bidi="ar-SA"/>
        </w:rPr>
        <w:t>Intelligent Accounting</w:t>
      </w:r>
    </w:p>
    <w:p w14:paraId="4457A102">
      <w:pPr>
        <w:spacing w:line="36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>专业代码：120203K</w:t>
      </w:r>
    </w:p>
    <w:p w14:paraId="220549BB">
      <w:pPr>
        <w:spacing w:line="360" w:lineRule="exact"/>
        <w:jc w:val="center"/>
        <w:rPr>
          <w:rFonts w:hint="eastAsia" w:eastAsia="仿宋_GB2312"/>
          <w:color w:val="000000"/>
          <w:sz w:val="24"/>
          <w:lang w:eastAsia="zh-CN"/>
        </w:rPr>
      </w:pPr>
      <w:r>
        <w:rPr>
          <w:rFonts w:eastAsia="仿宋_GB2312"/>
          <w:color w:val="000000"/>
          <w:sz w:val="24"/>
        </w:rPr>
        <w:t>执笔人：</w:t>
      </w:r>
      <w:r>
        <w:rPr>
          <w:rFonts w:hint="eastAsia" w:eastAsia="仿宋_GB2312"/>
          <w:color w:val="000000"/>
          <w:sz w:val="24"/>
          <w:lang w:eastAsia="zh-CN"/>
        </w:rPr>
        <w:t>符安平</w:t>
      </w:r>
    </w:p>
    <w:p w14:paraId="4CB144CD">
      <w:pPr>
        <w:spacing w:line="360" w:lineRule="exact"/>
        <w:jc w:val="center"/>
        <w:rPr>
          <w:rFonts w:hint="eastAsia" w:eastAsia="仿宋_GB2312"/>
          <w:color w:val="000000"/>
          <w:sz w:val="24"/>
          <w:lang w:eastAsia="zh-CN"/>
        </w:rPr>
      </w:pPr>
      <w:r>
        <w:rPr>
          <w:rFonts w:eastAsia="仿宋_GB2312"/>
          <w:color w:val="000000"/>
          <w:sz w:val="24"/>
        </w:rPr>
        <w:t>审核人：</w:t>
      </w:r>
      <w:r>
        <w:rPr>
          <w:rFonts w:hint="eastAsia" w:eastAsia="仿宋_GB2312"/>
          <w:color w:val="000000"/>
          <w:sz w:val="24"/>
          <w:lang w:eastAsia="zh-CN"/>
        </w:rPr>
        <w:t>张志彬</w:t>
      </w:r>
    </w:p>
    <w:p w14:paraId="1CD1A043">
      <w:pPr>
        <w:numPr>
          <w:ilvl w:val="0"/>
          <w:numId w:val="1"/>
        </w:numPr>
        <w:spacing w:line="360" w:lineRule="auto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培养目标</w:t>
      </w:r>
    </w:p>
    <w:p w14:paraId="10405E6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default" w:eastAsiaTheme="minorEastAsia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kern w:val="0"/>
          <w:sz w:val="24"/>
          <w:szCs w:val="20"/>
          <w:lang w:val="en-US" w:eastAsia="zh-CN"/>
        </w:rPr>
        <w:t>本微专业致力于以会计学专业为核心，注重大数据、人工智能、财务机器人等新一代信息技术与会计学的深度融合应用，通过打造与时俱进的智能会计系列课程，创新培养</w:t>
      </w:r>
      <w:r>
        <w:rPr>
          <w:rFonts w:hint="eastAsia" w:ascii="宋体" w:hAnsi="宋体" w:cs="Times New Roman"/>
          <w:kern w:val="0"/>
          <w:sz w:val="24"/>
          <w:szCs w:val="20"/>
          <w:lang w:val="en-US" w:eastAsia="zh-CN"/>
        </w:rPr>
        <w:t>既懂会计又熟悉数据科技的复合型</w:t>
      </w:r>
      <w:r>
        <w:rPr>
          <w:rFonts w:hint="eastAsia" w:ascii="宋体" w:hAnsi="宋体" w:eastAsia="宋体" w:cs="Times New Roman"/>
          <w:kern w:val="0"/>
          <w:sz w:val="24"/>
          <w:szCs w:val="20"/>
          <w:lang w:val="en-US" w:eastAsia="zh-CN"/>
        </w:rPr>
        <w:t>会计人才。</w:t>
      </w:r>
    </w:p>
    <w:p w14:paraId="18B18145">
      <w:pPr>
        <w:numPr>
          <w:ilvl w:val="0"/>
          <w:numId w:val="2"/>
        </w:num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先修条件</w:t>
      </w:r>
    </w:p>
    <w:p w14:paraId="38AD357B">
      <w:pPr>
        <w:spacing w:line="360" w:lineRule="auto"/>
        <w:ind w:firstLine="480" w:firstLineChars="200"/>
        <w:rPr>
          <w:rFonts w:hint="eastAsia" w:ascii="宋体" w:hAnsi="宋体" w:eastAsia="宋体" w:cs="Times New Roman"/>
          <w:kern w:val="0"/>
          <w:sz w:val="24"/>
          <w:szCs w:val="20"/>
          <w:lang w:val="en-US" w:eastAsia="zh-CN"/>
        </w:rPr>
      </w:pPr>
      <w:r>
        <w:rPr>
          <w:rFonts w:hint="eastAsia" w:ascii="宋体" w:hAnsi="宋体"/>
          <w:kern w:val="0"/>
          <w:sz w:val="24"/>
          <w:szCs w:val="20"/>
          <w:lang w:eastAsia="zh-CN"/>
        </w:rPr>
        <w:t>全校全日制本科生</w:t>
      </w:r>
      <w:r>
        <w:rPr>
          <w:rFonts w:ascii="宋体" w:hAnsi="宋体"/>
          <w:kern w:val="0"/>
          <w:sz w:val="24"/>
          <w:szCs w:val="20"/>
        </w:rPr>
        <w:t>、招</w:t>
      </w:r>
      <w:r>
        <w:rPr>
          <w:rFonts w:hint="eastAsia" w:ascii="宋体" w:hAnsi="宋体"/>
          <w:kern w:val="0"/>
          <w:sz w:val="24"/>
          <w:szCs w:val="20"/>
          <w:lang w:eastAsia="zh-CN"/>
        </w:rPr>
        <w:t>收</w:t>
      </w:r>
      <w:bookmarkStart w:id="0" w:name="_GoBack"/>
      <w:bookmarkEnd w:id="0"/>
      <w:r>
        <w:rPr>
          <w:rFonts w:hint="eastAsia" w:ascii="宋体" w:hAnsi="宋体"/>
          <w:kern w:val="0"/>
          <w:sz w:val="24"/>
          <w:szCs w:val="20"/>
          <w:lang w:eastAsia="zh-CN"/>
        </w:rPr>
        <w:t>大学</w:t>
      </w:r>
      <w:r>
        <w:rPr>
          <w:rFonts w:hint="eastAsia" w:ascii="宋体" w:hAnsi="宋体"/>
          <w:kern w:val="0"/>
          <w:sz w:val="24"/>
          <w:szCs w:val="20"/>
          <w:lang w:val="en-US" w:eastAsia="zh-CN"/>
        </w:rPr>
        <w:t>2、3</w:t>
      </w:r>
      <w:r>
        <w:rPr>
          <w:rFonts w:hint="eastAsia" w:ascii="宋体" w:hAnsi="宋体" w:eastAsia="宋体" w:cs="Times New Roman"/>
          <w:kern w:val="0"/>
          <w:sz w:val="24"/>
          <w:szCs w:val="20"/>
          <w:lang w:val="en-US" w:eastAsia="zh-CN"/>
        </w:rPr>
        <w:t>年级学生</w:t>
      </w:r>
    </w:p>
    <w:p w14:paraId="177A8529">
      <w:pPr>
        <w:spacing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三</w:t>
      </w:r>
      <w:r>
        <w:rPr>
          <w:rFonts w:hint="eastAsia"/>
          <w:b/>
          <w:sz w:val="28"/>
          <w:szCs w:val="28"/>
        </w:rPr>
        <w:t>、课程设置</w:t>
      </w:r>
    </w:p>
    <w:p w14:paraId="7A6E07B1">
      <w:pPr>
        <w:spacing w:line="360" w:lineRule="auto"/>
        <w:ind w:firstLine="480" w:firstLineChars="200"/>
        <w:rPr>
          <w:rFonts w:hint="default" w:ascii="Times New Roman" w:hAnsi="宋体" w:eastAsiaTheme="minorEastAsia"/>
          <w:sz w:val="24"/>
          <w:lang w:val="en-US" w:eastAsia="zh-CN"/>
        </w:rPr>
      </w:pPr>
      <w:r>
        <w:rPr>
          <w:rFonts w:hint="eastAsia" w:ascii="Times New Roman" w:hAnsi="宋体"/>
          <w:sz w:val="24"/>
        </w:rPr>
        <w:t>本微专业结业要求总学分为</w:t>
      </w:r>
      <w:r>
        <w:rPr>
          <w:rFonts w:hint="eastAsia" w:ascii="Times New Roman" w:hAnsi="宋体"/>
          <w:sz w:val="24"/>
          <w:lang w:val="en-US" w:eastAsia="zh-CN"/>
        </w:rPr>
        <w:t>11.5</w:t>
      </w:r>
      <w:r>
        <w:rPr>
          <w:rFonts w:hint="eastAsia" w:ascii="Times New Roman" w:hAnsi="宋体"/>
          <w:sz w:val="24"/>
        </w:rPr>
        <w:t>学分</w:t>
      </w:r>
      <w:r>
        <w:rPr>
          <w:rFonts w:hint="eastAsia" w:ascii="Times New Roman" w:hAnsi="宋体"/>
          <w:sz w:val="24"/>
          <w:lang w:eastAsia="zh-CN"/>
        </w:rPr>
        <w:t>，</w:t>
      </w:r>
      <w:r>
        <w:rPr>
          <w:rFonts w:hint="eastAsia" w:ascii="Times New Roman" w:hAnsi="宋体"/>
          <w:sz w:val="24"/>
          <w:lang w:val="en-US" w:eastAsia="zh-CN"/>
        </w:rPr>
        <w:t>具体安排如下。</w:t>
      </w:r>
    </w:p>
    <w:p w14:paraId="27713097">
      <w:pPr>
        <w:spacing w:line="360" w:lineRule="auto"/>
        <w:ind w:firstLine="480" w:firstLineChars="200"/>
        <w:jc w:val="center"/>
        <w:rPr>
          <w:rFonts w:hint="eastAsia" w:ascii="Times New Roman" w:hAnsi="宋体"/>
          <w:sz w:val="24"/>
          <w:lang w:val="en-US" w:eastAsia="zh-CN"/>
        </w:rPr>
      </w:pPr>
    </w:p>
    <w:p w14:paraId="55DED8B5">
      <w:pPr>
        <w:spacing w:line="360" w:lineRule="auto"/>
        <w:ind w:firstLine="480" w:firstLineChars="200"/>
        <w:jc w:val="center"/>
        <w:rPr>
          <w:rFonts w:hint="default" w:ascii="Times New Roman" w:hAnsi="宋体"/>
          <w:sz w:val="24"/>
          <w:lang w:val="en-US" w:eastAsia="zh-CN"/>
        </w:rPr>
      </w:pPr>
      <w:r>
        <w:rPr>
          <w:rFonts w:hint="eastAsia" w:ascii="Times New Roman" w:hAnsi="宋体"/>
          <w:sz w:val="24"/>
          <w:lang w:val="en-US" w:eastAsia="zh-CN"/>
        </w:rPr>
        <w:t>表1  微专业教学进程表</w:t>
      </w:r>
    </w:p>
    <w:tbl>
      <w:tblPr>
        <w:tblStyle w:val="3"/>
        <w:tblW w:w="893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2850"/>
        <w:gridCol w:w="681"/>
        <w:gridCol w:w="574"/>
        <w:gridCol w:w="560"/>
        <w:gridCol w:w="425"/>
        <w:gridCol w:w="567"/>
        <w:gridCol w:w="510"/>
        <w:gridCol w:w="1927"/>
      </w:tblGrid>
      <w:tr w14:paraId="6284F50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39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22577B13">
            <w:pPr>
              <w:spacing w:line="210" w:lineRule="exact"/>
              <w:ind w:left="-46" w:leftChars="-22" w:right="-40" w:rightChars="-19"/>
              <w:jc w:val="center"/>
              <w:rPr>
                <w:rFonts w:hint="eastAsia" w:ascii="宋体" w:hAnsi="宋体" w:cs="Times New Roman" w:eastAsiaTheme="minorEastAsia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课程</w:t>
            </w: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  <w:lang w:val="en-US" w:eastAsia="zh-CN"/>
              </w:rPr>
              <w:t>编码</w:t>
            </w:r>
          </w:p>
        </w:tc>
        <w:tc>
          <w:tcPr>
            <w:tcW w:w="2850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1164DD06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课  程  名  称</w:t>
            </w:r>
          </w:p>
        </w:tc>
        <w:tc>
          <w:tcPr>
            <w:tcW w:w="681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2067A49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 w14:paraId="58476513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分</w:t>
            </w:r>
          </w:p>
        </w:tc>
        <w:tc>
          <w:tcPr>
            <w:tcW w:w="574" w:type="dxa"/>
            <w:vMerge w:val="restart"/>
            <w:tcMar>
              <w:left w:w="17" w:type="dxa"/>
              <w:right w:w="17" w:type="dxa"/>
            </w:tcMar>
            <w:vAlign w:val="center"/>
          </w:tcPr>
          <w:p w14:paraId="551A443D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学</w:t>
            </w:r>
          </w:p>
          <w:p w14:paraId="620D58CB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时</w:t>
            </w:r>
          </w:p>
        </w:tc>
        <w:tc>
          <w:tcPr>
            <w:tcW w:w="2062" w:type="dxa"/>
            <w:gridSpan w:val="4"/>
            <w:vAlign w:val="center"/>
          </w:tcPr>
          <w:p w14:paraId="5075069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总学时分配</w:t>
            </w:r>
          </w:p>
        </w:tc>
        <w:tc>
          <w:tcPr>
            <w:tcW w:w="1927" w:type="dxa"/>
            <w:vMerge w:val="restart"/>
            <w:vAlign w:val="center"/>
          </w:tcPr>
          <w:p w14:paraId="75325151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/>
                <w:bCs/>
                <w:sz w:val="18"/>
                <w:szCs w:val="18"/>
              </w:rPr>
              <w:t>开课学期</w:t>
            </w:r>
          </w:p>
        </w:tc>
      </w:tr>
      <w:tr w14:paraId="770D204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9" w:hRule="atLeast"/>
          <w:jc w:val="center"/>
        </w:trPr>
        <w:tc>
          <w:tcPr>
            <w:tcW w:w="839" w:type="dxa"/>
            <w:vMerge w:val="continue"/>
            <w:tcMar>
              <w:left w:w="17" w:type="dxa"/>
              <w:right w:w="17" w:type="dxa"/>
            </w:tcMar>
            <w:vAlign w:val="center"/>
          </w:tcPr>
          <w:p w14:paraId="155AB4A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vMerge w:val="continue"/>
            <w:tcMar>
              <w:left w:w="17" w:type="dxa"/>
              <w:right w:w="17" w:type="dxa"/>
            </w:tcMar>
            <w:vAlign w:val="center"/>
          </w:tcPr>
          <w:p w14:paraId="2EE277C2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681" w:type="dxa"/>
            <w:vMerge w:val="continue"/>
            <w:tcMar>
              <w:left w:w="17" w:type="dxa"/>
              <w:right w:w="17" w:type="dxa"/>
            </w:tcMar>
            <w:vAlign w:val="center"/>
          </w:tcPr>
          <w:p w14:paraId="4B228910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574" w:type="dxa"/>
            <w:vMerge w:val="continue"/>
            <w:tcMar>
              <w:left w:w="17" w:type="dxa"/>
              <w:right w:w="17" w:type="dxa"/>
            </w:tcMar>
            <w:vAlign w:val="center"/>
          </w:tcPr>
          <w:p w14:paraId="149A84D9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  <w:tc>
          <w:tcPr>
            <w:tcW w:w="560" w:type="dxa"/>
            <w:tcMar>
              <w:left w:w="17" w:type="dxa"/>
              <w:right w:w="17" w:type="dxa"/>
            </w:tcMar>
            <w:vAlign w:val="center"/>
          </w:tcPr>
          <w:p w14:paraId="3B4302CE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理论学时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6B23890E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实验教学</w:t>
            </w:r>
          </w:p>
        </w:tc>
        <w:tc>
          <w:tcPr>
            <w:tcW w:w="567" w:type="dxa"/>
            <w:vAlign w:val="center"/>
          </w:tcPr>
          <w:p w14:paraId="20EAF677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宋体" w:hAnsi="宋体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  <w:lang w:val="en-US" w:eastAsia="zh-CN"/>
              </w:rPr>
              <w:t>线上学时</w:t>
            </w:r>
          </w:p>
        </w:tc>
        <w:tc>
          <w:tcPr>
            <w:tcW w:w="510" w:type="dxa"/>
            <w:vAlign w:val="center"/>
          </w:tcPr>
          <w:p w14:paraId="3224204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  <w:r>
              <w:rPr>
                <w:rFonts w:hint="eastAsia" w:ascii="宋体" w:hAnsi="宋体" w:cs="Times New Roman"/>
                <w:bCs/>
                <w:sz w:val="18"/>
                <w:szCs w:val="18"/>
              </w:rPr>
              <w:t>实践周数</w:t>
            </w:r>
          </w:p>
        </w:tc>
        <w:tc>
          <w:tcPr>
            <w:tcW w:w="1927" w:type="dxa"/>
            <w:vMerge w:val="continue"/>
          </w:tcPr>
          <w:p w14:paraId="6C08E625">
            <w:pPr>
              <w:spacing w:line="210" w:lineRule="exact"/>
              <w:ind w:left="-46" w:leftChars="-22" w:right="-40" w:rightChars="-19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  <w:tr w14:paraId="635FAF7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67EA8D2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tcMar>
              <w:left w:w="17" w:type="dxa"/>
              <w:right w:w="17" w:type="dxa"/>
            </w:tcMar>
            <w:vAlign w:val="center"/>
          </w:tcPr>
          <w:p w14:paraId="25784872"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0"/>
                <w:lang w:eastAsia="zh-CN"/>
              </w:rPr>
              <w:t>《会计学原理》</w:t>
            </w:r>
          </w:p>
        </w:tc>
        <w:tc>
          <w:tcPr>
            <w:tcW w:w="681" w:type="dxa"/>
            <w:tcMar>
              <w:left w:w="17" w:type="dxa"/>
              <w:right w:w="17" w:type="dxa"/>
            </w:tcMar>
            <w:vAlign w:val="center"/>
          </w:tcPr>
          <w:p w14:paraId="1E05EE69">
            <w:pPr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3</w:t>
            </w:r>
          </w:p>
        </w:tc>
        <w:tc>
          <w:tcPr>
            <w:tcW w:w="574" w:type="dxa"/>
            <w:tcMar>
              <w:left w:w="17" w:type="dxa"/>
              <w:right w:w="17" w:type="dxa"/>
            </w:tcMar>
            <w:vAlign w:val="center"/>
          </w:tcPr>
          <w:p w14:paraId="73397F34">
            <w:pPr>
              <w:jc w:val="center"/>
              <w:rPr>
                <w:rFonts w:hint="default" w:ascii="Times New Roman" w:hAnsi="Times New Roman" w:cs="Times New Roman"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48</w:t>
            </w:r>
          </w:p>
        </w:tc>
        <w:tc>
          <w:tcPr>
            <w:tcW w:w="560" w:type="dxa"/>
            <w:vAlign w:val="center"/>
          </w:tcPr>
          <w:p w14:paraId="633703C8">
            <w:pPr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48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453D9991">
            <w:pPr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577E1875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28B5DC27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6508025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2025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eastAsia="zh-CN"/>
              </w:rPr>
              <w:t>秋季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学期</w:t>
            </w:r>
          </w:p>
        </w:tc>
      </w:tr>
      <w:tr w14:paraId="55A979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35B4789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tcMar>
              <w:left w:w="17" w:type="dxa"/>
              <w:right w:w="17" w:type="dxa"/>
            </w:tcMar>
            <w:vAlign w:val="center"/>
          </w:tcPr>
          <w:p w14:paraId="4BFAC578"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0"/>
                <w:lang w:eastAsia="zh-CN"/>
              </w:rPr>
              <w:t>《智能会计信息系统》</w:t>
            </w:r>
          </w:p>
        </w:tc>
        <w:tc>
          <w:tcPr>
            <w:tcW w:w="681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79C240CF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2.5</w:t>
            </w:r>
          </w:p>
        </w:tc>
        <w:tc>
          <w:tcPr>
            <w:tcW w:w="574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2C80F737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40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15BF359C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40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0AAB3A1F">
            <w:pPr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4C421003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6CBC6A5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491B0B1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2025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eastAsia="zh-CN"/>
              </w:rPr>
              <w:t>秋季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学期</w:t>
            </w:r>
          </w:p>
        </w:tc>
      </w:tr>
      <w:tr w14:paraId="7461CA7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3F69F5E6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6C2A5FF7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0"/>
                <w:lang w:eastAsia="zh-CN"/>
              </w:rPr>
              <w:t>《财务机器人应用与开发》</w:t>
            </w:r>
          </w:p>
        </w:tc>
        <w:tc>
          <w:tcPr>
            <w:tcW w:w="681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31BE48C6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5A009290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49162DE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425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025F56B9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567" w:type="dxa"/>
            <w:vAlign w:val="center"/>
          </w:tcPr>
          <w:p w14:paraId="614309E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0401B8D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1B03A61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eastAsia="zh-CN"/>
              </w:rPr>
              <w:t>春季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学期</w:t>
            </w:r>
          </w:p>
        </w:tc>
      </w:tr>
      <w:tr w14:paraId="103525B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310EAE52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501EFF1C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0"/>
                <w:lang w:eastAsia="zh-CN"/>
              </w:rPr>
              <w:t>《大数据与财务决策》</w:t>
            </w:r>
          </w:p>
        </w:tc>
        <w:tc>
          <w:tcPr>
            <w:tcW w:w="681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5EC594AC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582DA327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0A5D1095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425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144B64F6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567" w:type="dxa"/>
            <w:vAlign w:val="center"/>
          </w:tcPr>
          <w:p w14:paraId="317FC70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7956FAC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7897499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eastAsia="zh-CN"/>
              </w:rPr>
              <w:t>春季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学期</w:t>
            </w:r>
          </w:p>
        </w:tc>
      </w:tr>
      <w:tr w14:paraId="47686C0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22277F6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67C04668">
            <w:pPr>
              <w:jc w:val="center"/>
              <w:rPr>
                <w:rFonts w:hint="eastAsia" w:asciiTheme="minorEastAsia" w:hAnsiTheme="minorEastAsia" w:eastAsiaTheme="minorEastAsia" w:cs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  <w:szCs w:val="20"/>
                <w:lang w:eastAsia="zh-CN"/>
              </w:rPr>
              <w:t>《智能财务共享》</w:t>
            </w:r>
          </w:p>
        </w:tc>
        <w:tc>
          <w:tcPr>
            <w:tcW w:w="681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1E866006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2</w:t>
            </w:r>
          </w:p>
        </w:tc>
        <w:tc>
          <w:tcPr>
            <w:tcW w:w="574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7237F56B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32</w:t>
            </w:r>
          </w:p>
        </w:tc>
        <w:tc>
          <w:tcPr>
            <w:tcW w:w="560" w:type="dxa"/>
            <w:shd w:val="clear" w:color="auto" w:fill="auto"/>
            <w:vAlign w:val="center"/>
          </w:tcPr>
          <w:p w14:paraId="7A2034C8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425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28B09ECF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仿宋_GB2312" w:cs="Times New Roman"/>
                <w:kern w:val="0"/>
                <w:sz w:val="24"/>
                <w:szCs w:val="20"/>
                <w:lang w:val="en-US" w:eastAsia="zh-CN"/>
              </w:rPr>
              <w:t>16</w:t>
            </w:r>
          </w:p>
        </w:tc>
        <w:tc>
          <w:tcPr>
            <w:tcW w:w="567" w:type="dxa"/>
            <w:vAlign w:val="center"/>
          </w:tcPr>
          <w:p w14:paraId="3300B271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4B6C71E3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41C56BB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2026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eastAsia="zh-CN"/>
              </w:rPr>
              <w:t>春季</w:t>
            </w:r>
            <w:r>
              <w:rPr>
                <w:rFonts w:hint="eastAsia" w:ascii="Times New Roman" w:hAnsi="Times New Roman" w:cs="Times New Roman"/>
                <w:bCs/>
                <w:sz w:val="18"/>
                <w:szCs w:val="18"/>
              </w:rPr>
              <w:t>学期</w:t>
            </w:r>
          </w:p>
        </w:tc>
      </w:tr>
      <w:tr w14:paraId="16118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2C0C8B5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tcMar>
              <w:left w:w="17" w:type="dxa"/>
              <w:right w:w="17" w:type="dxa"/>
            </w:tcMar>
            <w:vAlign w:val="center"/>
          </w:tcPr>
          <w:p w14:paraId="7CDDDFC8">
            <w:pPr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18"/>
                <w:lang w:val="en-US" w:eastAsia="zh-CN"/>
              </w:rPr>
            </w:pPr>
          </w:p>
        </w:tc>
        <w:tc>
          <w:tcPr>
            <w:tcW w:w="681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7E7BFBA5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74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2487861F">
            <w:pPr>
              <w:jc w:val="center"/>
              <w:rPr>
                <w:rFonts w:hint="default" w:ascii="Times New Roman" w:hAnsi="Times New Roman" w:cs="Times New Roman" w:eastAsiaTheme="minorEastAsia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0F6EE58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425" w:type="dxa"/>
            <w:shd w:val="clear" w:color="auto" w:fill="auto"/>
            <w:tcMar>
              <w:left w:w="17" w:type="dxa"/>
              <w:right w:w="17" w:type="dxa"/>
            </w:tcMar>
            <w:vAlign w:val="center"/>
          </w:tcPr>
          <w:p w14:paraId="1D02A588">
            <w:pPr>
              <w:jc w:val="center"/>
              <w:rPr>
                <w:rFonts w:hint="default" w:ascii="Times New Roman" w:hAnsi="Times New Roman" w:cs="Times New Roman" w:eastAsiaTheme="minorEastAsia"/>
                <w:bCs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67" w:type="dxa"/>
            <w:vAlign w:val="center"/>
          </w:tcPr>
          <w:p w14:paraId="5D1813EE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649844FC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0A789351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</w:p>
        </w:tc>
      </w:tr>
      <w:tr w14:paraId="06DF59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33730B6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tcMar>
              <w:left w:w="17" w:type="dxa"/>
              <w:right w:w="17" w:type="dxa"/>
            </w:tcMar>
            <w:vAlign w:val="center"/>
          </w:tcPr>
          <w:p w14:paraId="1F20CB6F">
            <w:pPr>
              <w:jc w:val="center"/>
              <w:rPr>
                <w:rFonts w:hint="eastAsia" w:ascii="Times New Roman" w:hAnsi="Times New Roman" w:cs="Times New Roman"/>
                <w:sz w:val="18"/>
                <w:szCs w:val="18"/>
                <w:lang w:val="en-US" w:eastAsia="zh-CN"/>
              </w:rPr>
            </w:pPr>
          </w:p>
        </w:tc>
        <w:tc>
          <w:tcPr>
            <w:tcW w:w="681" w:type="dxa"/>
            <w:tcMar>
              <w:left w:w="17" w:type="dxa"/>
              <w:right w:w="17" w:type="dxa"/>
            </w:tcMar>
            <w:vAlign w:val="center"/>
          </w:tcPr>
          <w:p w14:paraId="6F809922">
            <w:pPr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</w:pPr>
          </w:p>
        </w:tc>
        <w:tc>
          <w:tcPr>
            <w:tcW w:w="574" w:type="dxa"/>
            <w:tcMar>
              <w:left w:w="17" w:type="dxa"/>
              <w:right w:w="17" w:type="dxa"/>
            </w:tcMar>
            <w:vAlign w:val="center"/>
          </w:tcPr>
          <w:p w14:paraId="6A7D91C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3AB59E78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230A9B0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17ABF510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3B0475A9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5195D4FB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eastAsia" w:ascii="Times New Roman" w:hAnsi="Times New Roman" w:cs="Times New Roman"/>
                <w:bCs/>
                <w:sz w:val="18"/>
                <w:szCs w:val="18"/>
              </w:rPr>
            </w:pPr>
          </w:p>
        </w:tc>
      </w:tr>
      <w:tr w14:paraId="578B78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4" w:hRule="atLeast"/>
          <w:jc w:val="center"/>
        </w:trPr>
        <w:tc>
          <w:tcPr>
            <w:tcW w:w="839" w:type="dxa"/>
            <w:tcMar>
              <w:left w:w="17" w:type="dxa"/>
              <w:right w:w="17" w:type="dxa"/>
            </w:tcMar>
            <w:vAlign w:val="center"/>
          </w:tcPr>
          <w:p w14:paraId="4179FA68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2850" w:type="dxa"/>
            <w:tcMar>
              <w:left w:w="17" w:type="dxa"/>
              <w:right w:w="17" w:type="dxa"/>
            </w:tcMar>
            <w:vAlign w:val="center"/>
          </w:tcPr>
          <w:p w14:paraId="6F0FB481">
            <w:pPr>
              <w:jc w:val="center"/>
              <w:rPr>
                <w:rFonts w:hint="default" w:ascii="Times New Roman" w:hAnsi="Times New Roman" w:cs="Times New Roman" w:eastAsiaTheme="minorEastAsia"/>
                <w:color w:val="000000"/>
                <w:sz w:val="18"/>
                <w:szCs w:val="18"/>
                <w:lang w:val="en-US" w:eastAsia="zh-CN"/>
              </w:rPr>
            </w:pPr>
          </w:p>
        </w:tc>
        <w:tc>
          <w:tcPr>
            <w:tcW w:w="681" w:type="dxa"/>
            <w:tcMar>
              <w:left w:w="17" w:type="dxa"/>
              <w:right w:w="17" w:type="dxa"/>
            </w:tcMar>
            <w:vAlign w:val="center"/>
          </w:tcPr>
          <w:p w14:paraId="24441DB1">
            <w:pPr>
              <w:jc w:val="center"/>
              <w:rPr>
                <w:rFonts w:hint="eastAsia" w:ascii="Times New Roman" w:hAnsi="Times New Roman" w:cs="Times New Roman" w:eastAsiaTheme="minorEastAsia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574" w:type="dxa"/>
            <w:tcMar>
              <w:left w:w="17" w:type="dxa"/>
              <w:right w:w="17" w:type="dxa"/>
            </w:tcMar>
            <w:vAlign w:val="center"/>
          </w:tcPr>
          <w:p w14:paraId="0B946A7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vAlign w:val="center"/>
          </w:tcPr>
          <w:p w14:paraId="54B7A92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522C06BC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67" w:type="dxa"/>
            <w:vAlign w:val="center"/>
          </w:tcPr>
          <w:p w14:paraId="23038156">
            <w:pPr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115E23C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677D0AED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</w:tr>
      <w:tr w14:paraId="725FB6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3689" w:type="dxa"/>
            <w:gridSpan w:val="2"/>
            <w:tcMar>
              <w:left w:w="17" w:type="dxa"/>
              <w:right w:w="17" w:type="dxa"/>
            </w:tcMar>
            <w:vAlign w:val="center"/>
          </w:tcPr>
          <w:p w14:paraId="0B6187E9">
            <w:pPr>
              <w:snapToGrid w:val="0"/>
              <w:spacing w:line="210" w:lineRule="exact"/>
              <w:ind w:left="-46" w:leftChars="-22" w:right="-40" w:rightChars="-19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小计</w:t>
            </w:r>
          </w:p>
        </w:tc>
        <w:tc>
          <w:tcPr>
            <w:tcW w:w="681" w:type="dxa"/>
            <w:tcMar>
              <w:left w:w="17" w:type="dxa"/>
              <w:right w:w="17" w:type="dxa"/>
            </w:tcMar>
            <w:vAlign w:val="center"/>
          </w:tcPr>
          <w:p w14:paraId="0DA1904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11.5</w:t>
            </w:r>
          </w:p>
        </w:tc>
        <w:tc>
          <w:tcPr>
            <w:tcW w:w="574" w:type="dxa"/>
            <w:tcMar>
              <w:left w:w="17" w:type="dxa"/>
              <w:right w:w="17" w:type="dxa"/>
            </w:tcMar>
            <w:vAlign w:val="center"/>
          </w:tcPr>
          <w:p w14:paraId="26E7FE44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184</w:t>
            </w:r>
          </w:p>
        </w:tc>
        <w:tc>
          <w:tcPr>
            <w:tcW w:w="560" w:type="dxa"/>
            <w:vAlign w:val="center"/>
          </w:tcPr>
          <w:p w14:paraId="24A6565C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136</w:t>
            </w:r>
          </w:p>
        </w:tc>
        <w:tc>
          <w:tcPr>
            <w:tcW w:w="425" w:type="dxa"/>
            <w:tcMar>
              <w:left w:w="17" w:type="dxa"/>
              <w:right w:w="17" w:type="dxa"/>
            </w:tcMar>
            <w:vAlign w:val="center"/>
          </w:tcPr>
          <w:p w14:paraId="3C061C77">
            <w:pPr>
              <w:spacing w:line="210" w:lineRule="exact"/>
              <w:ind w:left="-46" w:leftChars="-22" w:right="-40" w:rightChars="-19"/>
              <w:jc w:val="center"/>
              <w:rPr>
                <w:rFonts w:hint="default" w:ascii="Times New Roman" w:hAnsi="Times New Roman" w:cs="Times New Roman" w:eastAsiaTheme="minorEastAsia"/>
                <w:bCs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bCs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567" w:type="dxa"/>
            <w:vAlign w:val="center"/>
          </w:tcPr>
          <w:p w14:paraId="0761EA55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510" w:type="dxa"/>
            <w:vAlign w:val="center"/>
          </w:tcPr>
          <w:p w14:paraId="615E9F1F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927" w:type="dxa"/>
          </w:tcPr>
          <w:p w14:paraId="31121D2A">
            <w:pPr>
              <w:snapToGrid w:val="0"/>
              <w:spacing w:line="210" w:lineRule="exact"/>
              <w:ind w:left="62" w:leftChars="-22" w:right="-40" w:rightChars="-19" w:hanging="108"/>
              <w:jc w:val="center"/>
              <w:rPr>
                <w:rFonts w:ascii="宋体" w:hAnsi="宋体" w:cs="Times New Roman"/>
                <w:bCs/>
                <w:sz w:val="18"/>
                <w:szCs w:val="18"/>
              </w:rPr>
            </w:pPr>
          </w:p>
        </w:tc>
      </w:tr>
    </w:tbl>
    <w:p w14:paraId="0B0CB76B">
      <w:pPr>
        <w:pStyle w:val="2"/>
        <w:spacing w:before="0" w:beforeAutospacing="0" w:after="0" w:afterAutospacing="0" w:line="360" w:lineRule="auto"/>
        <w:ind w:firstLine="560" w:firstLineChars="200"/>
        <w:rPr>
          <w:rFonts w:cs="Arial" w:asciiTheme="minorEastAsia" w:hAnsiTheme="minorEastAsia"/>
          <w:bCs/>
          <w:color w:val="000000"/>
          <w:kern w:val="36"/>
          <w:sz w:val="28"/>
          <w:szCs w:val="28"/>
        </w:rPr>
      </w:pPr>
    </w:p>
    <w:p w14:paraId="7B9FD1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D69BB2"/>
    <w:multiLevelType w:val="singleLevel"/>
    <w:tmpl w:val="2BD69BB2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E2D58F4"/>
    <w:multiLevelType w:val="singleLevel"/>
    <w:tmpl w:val="5E2D58F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EA6ABC"/>
    <w:rsid w:val="0DAC42D4"/>
    <w:rsid w:val="0FFF2ACC"/>
    <w:rsid w:val="29690F61"/>
    <w:rsid w:val="35EA6ABC"/>
    <w:rsid w:val="43293957"/>
    <w:rsid w:val="44332D24"/>
    <w:rsid w:val="4D623B06"/>
    <w:rsid w:val="5443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5">
    <w:name w:val="Emphasis"/>
    <w:basedOn w:val="4"/>
    <w:qFormat/>
    <w:uiPriority w:val="0"/>
    <w:rPr>
      <w:i/>
    </w:rPr>
  </w:style>
  <w:style w:type="paragraph" w:customStyle="1" w:styleId="6">
    <w:name w:val="培养方案标题1"/>
    <w:basedOn w:val="1"/>
    <w:qFormat/>
    <w:uiPriority w:val="0"/>
    <w:pPr>
      <w:jc w:val="center"/>
    </w:pPr>
    <w:rPr>
      <w:rFonts w:ascii="黑体" w:eastAsia="黑体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330</Words>
  <Characters>396</Characters>
  <Lines>0</Lines>
  <Paragraphs>0</Paragraphs>
  <TotalTime>14</TotalTime>
  <ScaleCrop>false</ScaleCrop>
  <LinksUpToDate>false</LinksUpToDate>
  <CharactersWithSpaces>405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2025-06-06T07:41:00Z</dcterms:created>
  <dc:creator>周险峰</dc:creator>
  <cp:lastModifiedBy>城市游客</cp:lastModifiedBy>
  <dcterms:modified xsi:type="dcterms:W3CDTF">2025-09-05T01:08:46Z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AA6FFA85A11946559AF1772488C96369_13</vt:lpwstr>
  </property>
  <property fmtid="{D5CDD505-2E9C-101B-9397-08002B2CF9AE}" pid="4" name="KSOTemplateDocerSaveRecord">
    <vt:lpwstr>eyJoZGlkIjoiMmJjMTc1MjFkZDczMDlkZGNiMDAxMTA0YzY4NWI5ZmUiLCJ1c2VySWQiOiIzNzI1NjI0NDQifQ==</vt:lpwstr>
  </property>
</Properties>
</file>